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87E5D">
      <w:pPr>
        <w:jc w:val="center"/>
        <w:rPr>
          <w:rFonts w:ascii="黑体" w:hAnsi="黑体" w:eastAsia="黑体"/>
          <w:color w:val="auto"/>
          <w:sz w:val="32"/>
          <w:szCs w:val="32"/>
          <w:highlight w:val="none"/>
        </w:rPr>
      </w:pPr>
      <w:r>
        <w:rPr>
          <w:rFonts w:hint="eastAsia" w:ascii="黑体" w:hAnsi="黑体" w:eastAsia="黑体"/>
          <w:color w:val="auto"/>
          <w:sz w:val="36"/>
          <w:szCs w:val="36"/>
          <w:highlight w:val="none"/>
        </w:rPr>
        <w:t>新能源学院研究生国家奖学金评选细则</w:t>
      </w:r>
    </w:p>
    <w:p w14:paraId="5E943652">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根据学校关于评选202</w:t>
      </w:r>
      <w:r>
        <w:rPr>
          <w:color w:val="auto"/>
          <w:sz w:val="24"/>
          <w:highlight w:val="none"/>
        </w:rPr>
        <w:t>4</w:t>
      </w:r>
      <w:r>
        <w:rPr>
          <w:rFonts w:hint="eastAsia"/>
          <w:color w:val="auto"/>
          <w:sz w:val="24"/>
          <w:highlight w:val="none"/>
        </w:rPr>
        <w:t>年度研究生国家奖学金的通知和要求，结合新能源学院研究生的具体情况，评选工作及具体评选细则公布如下：</w:t>
      </w:r>
    </w:p>
    <w:p w14:paraId="09D39458">
      <w:pPr>
        <w:spacing w:before="156" w:beforeLines="50" w:line="312" w:lineRule="auto"/>
        <w:ind w:firstLine="482" w:firstLineChars="200"/>
        <w:rPr>
          <w:rFonts w:cs="Tahoma" w:asciiTheme="minorEastAsia" w:hAnsiTheme="minorEastAsia"/>
          <w:b/>
          <w:color w:val="auto"/>
          <w:sz w:val="24"/>
          <w:highlight w:val="none"/>
        </w:rPr>
      </w:pPr>
      <w:r>
        <w:rPr>
          <w:rFonts w:hint="eastAsia" w:cs="Tahoma" w:asciiTheme="minorEastAsia" w:hAnsiTheme="minorEastAsia"/>
          <w:b/>
          <w:color w:val="auto"/>
          <w:sz w:val="24"/>
          <w:highlight w:val="none"/>
        </w:rPr>
        <w:t>一、申请条件、评选范围</w:t>
      </w:r>
    </w:p>
    <w:p w14:paraId="6FDA0D15">
      <w:pPr>
        <w:spacing w:line="312" w:lineRule="auto"/>
        <w:ind w:firstLine="480" w:firstLineChars="200"/>
        <w:rPr>
          <w:rFonts w:cs="Tahoma" w:asciiTheme="minorEastAsia" w:hAnsiTheme="minorEastAsia"/>
          <w:color w:val="auto"/>
          <w:sz w:val="24"/>
          <w:highlight w:val="none"/>
        </w:rPr>
      </w:pPr>
      <w:r>
        <w:rPr>
          <w:rFonts w:hint="eastAsia" w:cs="Tahoma" w:asciiTheme="minorEastAsia" w:hAnsiTheme="minorEastAsia"/>
          <w:color w:val="auto"/>
          <w:sz w:val="24"/>
          <w:highlight w:val="none"/>
        </w:rPr>
        <w:t>（一）申请条件</w:t>
      </w:r>
    </w:p>
    <w:p w14:paraId="04CD610B">
      <w:pPr>
        <w:spacing w:line="312"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1.</w:t>
      </w:r>
      <w:r>
        <w:rPr>
          <w:rFonts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rPr>
        <w:t>具有中华人民共和国国籍；热爱祖国，拥护中国共产党的领导；遵守宪法和法律，遵守高等学校规章制度；诚实守信，道德品质优良。</w:t>
      </w:r>
    </w:p>
    <w:p w14:paraId="3C975209">
      <w:pPr>
        <w:spacing w:line="312"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2.</w:t>
      </w:r>
      <w:r>
        <w:rPr>
          <w:rFonts w:asciiTheme="minorEastAsia" w:hAnsiTheme="minorEastAsia" w:cstheme="minorEastAsia"/>
          <w:color w:val="auto"/>
          <w:kern w:val="0"/>
          <w:sz w:val="24"/>
          <w:highlight w:val="none"/>
        </w:rPr>
        <w:t xml:space="preserve"> </w:t>
      </w:r>
      <w:r>
        <w:rPr>
          <w:rFonts w:hint="eastAsia" w:asciiTheme="minorEastAsia" w:hAnsiTheme="minorEastAsia" w:cstheme="minorEastAsia"/>
          <w:color w:val="auto"/>
          <w:kern w:val="0"/>
          <w:sz w:val="24"/>
          <w:highlight w:val="none"/>
        </w:rPr>
        <w:t>课程学习成绩优异；在科研工作中发挥积极作用，科研能力突出，具有良好的发展潜力；学位论文进展状态好，并已取得显著成果。</w:t>
      </w:r>
    </w:p>
    <w:p w14:paraId="530E08E3">
      <w:pPr>
        <w:spacing w:line="312" w:lineRule="auto"/>
        <w:ind w:firstLine="480" w:firstLineChars="200"/>
        <w:rPr>
          <w:rFonts w:asciiTheme="minorEastAsia" w:hAnsiTheme="minorEastAsia" w:cstheme="minorEastAsia"/>
          <w:color w:val="auto"/>
          <w:kern w:val="0"/>
          <w:sz w:val="24"/>
          <w:highlight w:val="none"/>
        </w:rPr>
      </w:pPr>
      <w:r>
        <w:rPr>
          <w:rFonts w:hint="eastAsia" w:asciiTheme="minorEastAsia" w:hAnsiTheme="minorEastAsia" w:cstheme="minorEastAsia"/>
          <w:color w:val="auto"/>
          <w:kern w:val="0"/>
          <w:sz w:val="24"/>
          <w:highlight w:val="none"/>
        </w:rPr>
        <w:t>（二）评选范围</w:t>
      </w:r>
    </w:p>
    <w:p w14:paraId="154F1F81">
      <w:pPr>
        <w:spacing w:line="312" w:lineRule="auto"/>
        <w:ind w:firstLine="480" w:firstLineChars="200"/>
        <w:rPr>
          <w:rFonts w:asciiTheme="minorEastAsia" w:hAnsiTheme="minorEastAsia" w:cstheme="minorEastAsia"/>
          <w:color w:val="auto"/>
          <w:kern w:val="0"/>
          <w:sz w:val="24"/>
          <w:highlight w:val="none"/>
        </w:rPr>
      </w:pPr>
      <w:r>
        <w:rPr>
          <w:rFonts w:cs="Tahoma" w:asciiTheme="minorEastAsia" w:hAnsiTheme="minorEastAsia"/>
          <w:color w:val="auto"/>
          <w:sz w:val="24"/>
          <w:highlight w:val="none"/>
        </w:rPr>
        <w:t>1.</w:t>
      </w:r>
      <w:r>
        <w:rPr>
          <w:rFonts w:hint="eastAsia" w:cs="Tahoma" w:asciiTheme="minorEastAsia" w:hAnsiTheme="minorEastAsia"/>
          <w:color w:val="auto"/>
          <w:sz w:val="24"/>
          <w:highlight w:val="none"/>
        </w:rPr>
        <w:t xml:space="preserve"> </w:t>
      </w:r>
      <w:r>
        <w:rPr>
          <w:rFonts w:hint="eastAsia" w:asciiTheme="minorEastAsia" w:hAnsiTheme="minorEastAsia" w:cstheme="minorEastAsia"/>
          <w:color w:val="auto"/>
          <w:kern w:val="0"/>
          <w:sz w:val="24"/>
          <w:highlight w:val="none"/>
        </w:rPr>
        <w:t>基本修业年限内在籍在册的纳入全国研究生招生计划的全日制非定向就业类研究生，定向就业类中的“高层次人才强军计划”和“少数民族高层次骨干人才计划”招收的研究生。</w:t>
      </w:r>
    </w:p>
    <w:p w14:paraId="1BF20670">
      <w:pPr>
        <w:autoSpaceDE w:val="0"/>
        <w:autoSpaceDN w:val="0"/>
        <w:adjustRightInd w:val="0"/>
        <w:spacing w:line="300" w:lineRule="auto"/>
        <w:ind w:firstLine="480" w:firstLineChars="200"/>
        <w:jc w:val="left"/>
        <w:rPr>
          <w:color w:val="auto"/>
          <w:sz w:val="24"/>
          <w:highlight w:val="none"/>
        </w:rPr>
      </w:pPr>
      <w:r>
        <w:rPr>
          <w:color w:val="auto"/>
          <w:sz w:val="24"/>
          <w:highlight w:val="none"/>
        </w:rPr>
        <w:t xml:space="preserve">2. </w:t>
      </w:r>
      <w:r>
        <w:rPr>
          <w:rFonts w:hint="eastAsia" w:asciiTheme="minorEastAsia" w:hAnsiTheme="minorEastAsia" w:cstheme="minorEastAsia"/>
          <w:color w:val="auto"/>
          <w:kern w:val="0"/>
          <w:sz w:val="24"/>
          <w:highlight w:val="none"/>
        </w:rPr>
        <w:t>硕士研究生国家奖学金申请者须在申请年度9月30日前已完成硕士学位论文开题，且成绩排名与综合排名均在前50%。</w:t>
      </w:r>
    </w:p>
    <w:p w14:paraId="11058FD7">
      <w:pPr>
        <w:autoSpaceDE w:val="0"/>
        <w:autoSpaceDN w:val="0"/>
        <w:adjustRightInd w:val="0"/>
        <w:spacing w:line="300" w:lineRule="auto"/>
        <w:ind w:firstLine="480" w:firstLineChars="200"/>
        <w:jc w:val="left"/>
        <w:rPr>
          <w:color w:val="auto"/>
          <w:sz w:val="24"/>
          <w:highlight w:val="none"/>
        </w:rPr>
      </w:pPr>
      <w:r>
        <w:rPr>
          <w:color w:val="auto"/>
          <w:sz w:val="24"/>
          <w:highlight w:val="none"/>
        </w:rPr>
        <w:t>3.</w:t>
      </w:r>
      <w:r>
        <w:rPr>
          <w:rFonts w:hint="eastAsia"/>
          <w:color w:val="auto"/>
          <w:sz w:val="24"/>
          <w:highlight w:val="none"/>
        </w:rPr>
        <w:t>有纪律处分等情况的研究生，处分期内不能参加国家奖学金的评选。</w:t>
      </w:r>
    </w:p>
    <w:p w14:paraId="1C34A9A6">
      <w:pPr>
        <w:autoSpaceDE w:val="0"/>
        <w:autoSpaceDN w:val="0"/>
        <w:adjustRightInd w:val="0"/>
        <w:spacing w:line="300" w:lineRule="auto"/>
        <w:ind w:firstLine="482" w:firstLineChars="200"/>
        <w:jc w:val="left"/>
        <w:rPr>
          <w:color w:val="auto"/>
          <w:sz w:val="24"/>
          <w:highlight w:val="none"/>
        </w:rPr>
      </w:pPr>
      <w:r>
        <w:rPr>
          <w:rFonts w:hint="eastAsia" w:cs="Tahoma" w:asciiTheme="minorEastAsia" w:hAnsiTheme="minorEastAsia"/>
          <w:b/>
          <w:color w:val="auto"/>
          <w:sz w:val="24"/>
          <w:highlight w:val="none"/>
        </w:rPr>
        <w:t>二、评选要求及名额分配原则</w:t>
      </w:r>
    </w:p>
    <w:p w14:paraId="57EB4CCA">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1.</w:t>
      </w:r>
      <w:r>
        <w:rPr>
          <w:color w:val="auto"/>
          <w:sz w:val="24"/>
          <w:highlight w:val="none"/>
        </w:rPr>
        <w:t xml:space="preserve"> </w:t>
      </w:r>
      <w:r>
        <w:rPr>
          <w:rFonts w:hint="eastAsia"/>
          <w:color w:val="auto"/>
          <w:sz w:val="24"/>
          <w:highlight w:val="none"/>
        </w:rPr>
        <w:t>研究生国家奖学金每年评审一次，坚持公开、公平、公正、择优的原则，严格执行相关规定，杜绝弄虚作假。</w:t>
      </w:r>
    </w:p>
    <w:p w14:paraId="78EDBA8B">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2. 除研究生学业奖学金外，同年度国家奖学金不可与其他奖学金兼得，研究生自愿选择申报奖学金类别。</w:t>
      </w:r>
    </w:p>
    <w:p w14:paraId="1637036C">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3.</w:t>
      </w:r>
      <w:r>
        <w:rPr>
          <w:color w:val="auto"/>
          <w:sz w:val="24"/>
          <w:highlight w:val="none"/>
        </w:rPr>
        <w:t xml:space="preserve"> </w:t>
      </w:r>
      <w:r>
        <w:rPr>
          <w:rFonts w:hint="eastAsia"/>
          <w:color w:val="auto"/>
          <w:sz w:val="24"/>
          <w:highlight w:val="none"/>
        </w:rPr>
        <w:t>研究生可以多次申报国家奖学金，但不能连续两个年度获奖；上次获奖年度及之前的成果不可重复申报使用；再次申报的学生要特别优秀，成果特别突出，在同年度获奖学生中成果排名在前30%。</w:t>
      </w:r>
    </w:p>
    <w:p w14:paraId="531A6C8B">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4.各学科之间的名额分配原则上考虑各类别参评研究生的总数，同时统筹兼顾学科特点。</w:t>
      </w:r>
    </w:p>
    <w:p w14:paraId="046F015F">
      <w:pPr>
        <w:spacing w:before="156" w:beforeLines="50" w:line="312" w:lineRule="auto"/>
        <w:ind w:firstLine="482" w:firstLineChars="200"/>
        <w:rPr>
          <w:rFonts w:cs="Tahoma" w:asciiTheme="minorEastAsia" w:hAnsiTheme="minorEastAsia"/>
          <w:b/>
          <w:color w:val="auto"/>
          <w:sz w:val="24"/>
          <w:highlight w:val="none"/>
        </w:rPr>
      </w:pPr>
      <w:r>
        <w:rPr>
          <w:rFonts w:hint="eastAsia" w:cs="Tahoma" w:asciiTheme="minorEastAsia" w:hAnsiTheme="minorEastAsia"/>
          <w:b/>
          <w:color w:val="auto"/>
          <w:sz w:val="24"/>
          <w:highlight w:val="none"/>
        </w:rPr>
        <w:t>三、评选组织</w:t>
      </w:r>
    </w:p>
    <w:p w14:paraId="31943BFB">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新能源学院研究生国家奖学金评审委员会由学院院长、相关管理人员、学科负责人、学生代表等组成。</w:t>
      </w:r>
    </w:p>
    <w:p w14:paraId="1ECDD4F1">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评选委员会组成如下：</w:t>
      </w:r>
    </w:p>
    <w:p w14:paraId="596EE356">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组长：蔡春伟</w:t>
      </w:r>
    </w:p>
    <w:p w14:paraId="0E144684">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副组长：</w:t>
      </w:r>
      <w:r>
        <w:rPr>
          <w:color w:val="auto"/>
          <w:sz w:val="24"/>
          <w:highlight w:val="none"/>
        </w:rPr>
        <w:t>郝晓文</w:t>
      </w:r>
    </w:p>
    <w:p w14:paraId="3AE1FB7D">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委员：苏乃</w:t>
      </w:r>
      <w:r>
        <w:rPr>
          <w:color w:val="auto"/>
          <w:sz w:val="24"/>
          <w:highlight w:val="none"/>
        </w:rPr>
        <w:t>乾</w:t>
      </w:r>
      <w:r>
        <w:rPr>
          <w:rFonts w:hint="eastAsia"/>
          <w:color w:val="auto"/>
          <w:sz w:val="24"/>
          <w:highlight w:val="none"/>
        </w:rPr>
        <w:t xml:space="preserve">  柴</w:t>
      </w:r>
      <w:r>
        <w:rPr>
          <w:color w:val="auto"/>
          <w:sz w:val="24"/>
          <w:highlight w:val="none"/>
        </w:rPr>
        <w:t>文萍</w:t>
      </w:r>
      <w:r>
        <w:rPr>
          <w:rFonts w:hint="eastAsia"/>
          <w:color w:val="auto"/>
          <w:sz w:val="24"/>
          <w:highlight w:val="none"/>
        </w:rPr>
        <w:t xml:space="preserve">  王方舟  学生代表2人</w:t>
      </w:r>
    </w:p>
    <w:p w14:paraId="1D3CD1A5">
      <w:pPr>
        <w:spacing w:before="156" w:beforeLines="50" w:line="312" w:lineRule="auto"/>
        <w:ind w:firstLine="482" w:firstLineChars="200"/>
        <w:rPr>
          <w:rFonts w:cs="Tahoma" w:asciiTheme="minorEastAsia" w:hAnsiTheme="minorEastAsia"/>
          <w:b/>
          <w:color w:val="auto"/>
          <w:sz w:val="24"/>
          <w:highlight w:val="none"/>
        </w:rPr>
      </w:pPr>
      <w:r>
        <w:rPr>
          <w:rFonts w:hint="eastAsia" w:cs="Tahoma" w:asciiTheme="minorEastAsia" w:hAnsiTheme="minorEastAsia"/>
          <w:b/>
          <w:color w:val="auto"/>
          <w:sz w:val="24"/>
          <w:highlight w:val="none"/>
        </w:rPr>
        <w:t>四、评选过程</w:t>
      </w:r>
    </w:p>
    <w:p w14:paraId="776E6135">
      <w:pPr>
        <w:autoSpaceDE w:val="0"/>
        <w:autoSpaceDN w:val="0"/>
        <w:adjustRightInd w:val="0"/>
        <w:spacing w:line="300" w:lineRule="auto"/>
        <w:ind w:firstLine="360" w:firstLineChars="150"/>
        <w:jc w:val="left"/>
        <w:rPr>
          <w:color w:val="auto"/>
          <w:sz w:val="24"/>
          <w:highlight w:val="none"/>
        </w:rPr>
      </w:pPr>
      <w:r>
        <w:rPr>
          <w:rFonts w:hint="eastAsia"/>
          <w:color w:val="auto"/>
          <w:sz w:val="24"/>
          <w:highlight w:val="none"/>
        </w:rPr>
        <w:t>（一）学生申请</w:t>
      </w:r>
    </w:p>
    <w:p w14:paraId="33765F4F">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符合条件的优秀硕士须在规定日期截止前申请研究生国家奖学金。申请人应如实填写《研究生国家奖学金申请审批表》，准备科研成果等证明材料的原件及复印件（经核实后原件退回，留复印件），一并提交到院评审委员会。研究生课程学习成绩单由研究生教学秘书提供。</w:t>
      </w:r>
    </w:p>
    <w:p w14:paraId="658CE304">
      <w:pPr>
        <w:autoSpaceDE w:val="0"/>
        <w:autoSpaceDN w:val="0"/>
        <w:adjustRightInd w:val="0"/>
        <w:spacing w:line="300" w:lineRule="auto"/>
        <w:ind w:firstLine="360" w:firstLineChars="150"/>
        <w:jc w:val="left"/>
        <w:rPr>
          <w:color w:val="auto"/>
          <w:sz w:val="24"/>
          <w:highlight w:val="none"/>
        </w:rPr>
      </w:pPr>
      <w:r>
        <w:rPr>
          <w:rFonts w:hint="eastAsia"/>
          <w:color w:val="auto"/>
          <w:sz w:val="24"/>
          <w:highlight w:val="none"/>
        </w:rPr>
        <w:t>（二）学院评审</w:t>
      </w:r>
    </w:p>
    <w:p w14:paraId="089252C5">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1. 材料公示与学院初评。学院评审委员会组织初评前，先将学生申请材料公示3天。公示无异议后按照评审细则对申请人的综合情况进行初评。</w:t>
      </w:r>
    </w:p>
    <w:p w14:paraId="2A88F3C3">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2. 学院复评答辩。学院从学院研究生国家奖学金评审委员会中，选定不少于7人组成专家组，统一对初评合格的学生进行复评，有学生参加本次奖学金评选的导师应回避。参评学生需准备PPT介绍个人情况并回答评委的提问，以现场打分形式，按照总成绩排序高低，确定推荐参加校区评审的学生名单。学院复评答辩结果在学院网站公示。</w:t>
      </w:r>
    </w:p>
    <w:p w14:paraId="063A17B0">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3. 公示期满且无异议后提交校区评审。</w:t>
      </w:r>
    </w:p>
    <w:p w14:paraId="7EDB1732">
      <w:pPr>
        <w:spacing w:line="312" w:lineRule="auto"/>
        <w:ind w:firstLine="480" w:firstLineChars="200"/>
        <w:rPr>
          <w:rFonts w:cs="Tahoma" w:asciiTheme="minorEastAsia" w:hAnsiTheme="minorEastAsia"/>
          <w:color w:val="auto"/>
          <w:sz w:val="24"/>
          <w:highlight w:val="none"/>
        </w:rPr>
      </w:pPr>
      <w:r>
        <w:rPr>
          <w:rFonts w:hint="eastAsia" w:cs="Tahoma" w:asciiTheme="minorEastAsia" w:hAnsiTheme="minorEastAsia"/>
          <w:color w:val="auto"/>
          <w:sz w:val="24"/>
          <w:highlight w:val="none"/>
        </w:rPr>
        <w:t>（三）校区复评</w:t>
      </w:r>
    </w:p>
    <w:p w14:paraId="09641DAC">
      <w:pPr>
        <w:spacing w:line="312" w:lineRule="auto"/>
        <w:ind w:firstLine="480" w:firstLineChars="200"/>
        <w:rPr>
          <w:rFonts w:cs="Tahoma" w:asciiTheme="minorEastAsia" w:hAnsiTheme="minorEastAsia"/>
          <w:color w:val="auto"/>
          <w:sz w:val="24"/>
          <w:highlight w:val="none"/>
        </w:rPr>
      </w:pPr>
      <w:r>
        <w:rPr>
          <w:rFonts w:hint="eastAsia" w:cs="Tahoma" w:asciiTheme="minorEastAsia" w:hAnsiTheme="minorEastAsia"/>
          <w:color w:val="auto"/>
          <w:sz w:val="24"/>
          <w:highlight w:val="none"/>
        </w:rPr>
        <w:t>校区评审委员会成立专家组，统一组织复评。复评以答辩的方式进行，参评学生需准备</w:t>
      </w:r>
      <w:r>
        <w:rPr>
          <w:rFonts w:cs="Tahoma" w:asciiTheme="minorEastAsia" w:hAnsiTheme="minorEastAsia"/>
          <w:color w:val="auto"/>
          <w:sz w:val="24"/>
          <w:highlight w:val="none"/>
        </w:rPr>
        <w:t>PPT</w:t>
      </w:r>
      <w:r>
        <w:rPr>
          <w:rFonts w:hint="eastAsia" w:cs="Tahoma" w:asciiTheme="minorEastAsia" w:hAnsiTheme="minorEastAsia"/>
          <w:color w:val="auto"/>
          <w:sz w:val="24"/>
          <w:highlight w:val="none"/>
        </w:rPr>
        <w:t>介绍个人情况并回答评委的提问，评委以现场投票方式确定获奖学生名单。</w:t>
      </w:r>
    </w:p>
    <w:p w14:paraId="474302A5">
      <w:pPr>
        <w:spacing w:line="312" w:lineRule="auto"/>
        <w:ind w:firstLine="480" w:firstLineChars="200"/>
        <w:rPr>
          <w:rFonts w:cs="Tahoma" w:asciiTheme="minorEastAsia" w:hAnsiTheme="minorEastAsia"/>
          <w:color w:val="auto"/>
          <w:sz w:val="24"/>
          <w:highlight w:val="none"/>
        </w:rPr>
      </w:pPr>
      <w:r>
        <w:rPr>
          <w:rFonts w:hint="eastAsia" w:cs="Tahoma" w:asciiTheme="minorEastAsia" w:hAnsiTheme="minorEastAsia"/>
          <w:color w:val="auto"/>
          <w:sz w:val="24"/>
          <w:highlight w:val="none"/>
        </w:rPr>
        <w:t>（四）名单公示</w:t>
      </w:r>
    </w:p>
    <w:p w14:paraId="52FF8233">
      <w:pPr>
        <w:spacing w:line="312" w:lineRule="auto"/>
        <w:ind w:firstLine="480" w:firstLineChars="200"/>
        <w:rPr>
          <w:rFonts w:cs="Tahoma" w:asciiTheme="minorEastAsia" w:hAnsiTheme="minorEastAsia"/>
          <w:color w:val="auto"/>
          <w:sz w:val="24"/>
          <w:highlight w:val="none"/>
        </w:rPr>
      </w:pPr>
      <w:r>
        <w:rPr>
          <w:rFonts w:hint="eastAsia" w:cs="Tahoma" w:asciiTheme="minorEastAsia" w:hAnsiTheme="minorEastAsia"/>
          <w:color w:val="auto"/>
          <w:sz w:val="24"/>
          <w:highlight w:val="none"/>
        </w:rPr>
        <w:t>（五）奖金及证书颁发</w:t>
      </w:r>
      <w:r>
        <w:rPr>
          <w:rFonts w:cs="Tahoma" w:asciiTheme="minorEastAsia" w:hAnsiTheme="minorEastAsia"/>
          <w:color w:val="auto"/>
          <w:sz w:val="24"/>
          <w:highlight w:val="none"/>
        </w:rPr>
        <w:t xml:space="preserve"> </w:t>
      </w:r>
    </w:p>
    <w:p w14:paraId="26D7D703">
      <w:pPr>
        <w:spacing w:line="312" w:lineRule="auto"/>
        <w:ind w:firstLine="480" w:firstLineChars="200"/>
        <w:rPr>
          <w:rFonts w:cs="Tahoma" w:asciiTheme="minorEastAsia" w:hAnsiTheme="minorEastAsia"/>
          <w:color w:val="auto"/>
          <w:sz w:val="24"/>
          <w:highlight w:val="none"/>
        </w:rPr>
      </w:pPr>
      <w:r>
        <w:rPr>
          <w:rFonts w:hint="eastAsia" w:cs="Tahoma" w:asciiTheme="minorEastAsia" w:hAnsiTheme="minorEastAsia"/>
          <w:color w:val="auto"/>
          <w:sz w:val="24"/>
          <w:highlight w:val="none"/>
        </w:rPr>
        <w:t>按照国家文件规定，国家奖学金每个评审年度，硕士研究生每生奖励2万元。研究生国家奖学金一次性发放给获奖学生，颁发国家统一印制的荣誉证书，并将研究生获得国家奖学金情况记入学生学籍档案。</w:t>
      </w:r>
      <w:r>
        <w:rPr>
          <w:rFonts w:cs="Tahoma" w:asciiTheme="minorEastAsia" w:hAnsiTheme="minorEastAsia"/>
          <w:color w:val="auto"/>
          <w:sz w:val="24"/>
          <w:highlight w:val="none"/>
        </w:rPr>
        <w:t xml:space="preserve"> </w:t>
      </w:r>
    </w:p>
    <w:p w14:paraId="294DA829">
      <w:pPr>
        <w:spacing w:before="156" w:beforeLines="50" w:line="312" w:lineRule="auto"/>
        <w:ind w:firstLine="482" w:firstLineChars="200"/>
        <w:rPr>
          <w:rFonts w:cs="Tahoma" w:asciiTheme="minorEastAsia" w:hAnsiTheme="minorEastAsia"/>
          <w:b/>
          <w:color w:val="auto"/>
          <w:sz w:val="24"/>
          <w:highlight w:val="none"/>
        </w:rPr>
      </w:pPr>
      <w:r>
        <w:rPr>
          <w:rFonts w:hint="eastAsia" w:cs="Tahoma" w:asciiTheme="minorEastAsia" w:hAnsiTheme="minorEastAsia"/>
          <w:b/>
          <w:color w:val="auto"/>
          <w:sz w:val="24"/>
          <w:highlight w:val="none"/>
        </w:rPr>
        <w:t>五、异议处理</w:t>
      </w:r>
    </w:p>
    <w:p w14:paraId="1C51DC65">
      <w:pPr>
        <w:spacing w:line="312" w:lineRule="auto"/>
        <w:ind w:firstLine="480" w:firstLineChars="200"/>
        <w:rPr>
          <w:rFonts w:cs="Tahoma" w:asciiTheme="minorEastAsia" w:hAnsiTheme="minorEastAsia"/>
          <w:color w:val="auto"/>
          <w:sz w:val="24"/>
          <w:highlight w:val="none"/>
        </w:rPr>
      </w:pPr>
      <w:r>
        <w:rPr>
          <w:rFonts w:hint="eastAsia" w:cs="Tahoma" w:asciiTheme="minorEastAsia" w:hAnsiTheme="minorEastAsia"/>
          <w:color w:val="auto"/>
          <w:sz w:val="24"/>
          <w:highlight w:val="none"/>
        </w:rPr>
        <w:t>对学院初评结果有异议的学生，可在学院公示阶段向所在学院评审委员会提出申诉，学院评审委员会应及时核实情况并予以答复。如学生对学院评审委员会做出的答复仍存在异议可向校区评审委员会提请裁决。</w:t>
      </w:r>
    </w:p>
    <w:p w14:paraId="3808BFB8">
      <w:pPr>
        <w:spacing w:before="156" w:beforeLines="50" w:line="312" w:lineRule="auto"/>
        <w:ind w:firstLine="482" w:firstLineChars="200"/>
        <w:rPr>
          <w:rFonts w:cs="Tahoma" w:asciiTheme="minorEastAsia" w:hAnsiTheme="minorEastAsia"/>
          <w:b/>
          <w:color w:val="auto"/>
          <w:sz w:val="24"/>
          <w:highlight w:val="none"/>
        </w:rPr>
      </w:pPr>
      <w:r>
        <w:rPr>
          <w:rFonts w:hint="eastAsia" w:cs="Tahoma" w:asciiTheme="minorEastAsia" w:hAnsiTheme="minorEastAsia"/>
          <w:b/>
          <w:color w:val="auto"/>
          <w:sz w:val="24"/>
          <w:highlight w:val="none"/>
        </w:rPr>
        <w:t>六</w:t>
      </w:r>
      <w:r>
        <w:rPr>
          <w:rFonts w:cs="Tahoma" w:asciiTheme="minorEastAsia" w:hAnsiTheme="minorEastAsia"/>
          <w:b/>
          <w:color w:val="auto"/>
          <w:sz w:val="24"/>
          <w:highlight w:val="none"/>
        </w:rPr>
        <w:t>、</w:t>
      </w:r>
      <w:r>
        <w:rPr>
          <w:rFonts w:hint="eastAsia" w:cs="Tahoma" w:asciiTheme="minorEastAsia" w:hAnsiTheme="minorEastAsia"/>
          <w:b/>
          <w:color w:val="auto"/>
          <w:sz w:val="24"/>
          <w:highlight w:val="none"/>
        </w:rPr>
        <w:t>成绩核算办法</w:t>
      </w:r>
    </w:p>
    <w:p w14:paraId="42AFB9CE">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综合考核研究生德育综合表现、科研能力、科研工作成绩、工程技术创新创造能力、学习成绩、论文进展等内容。专业学位研究生国家奖学金评审重点考察参与实际工程项目研发的工作量、取得的实际成效以及项目负责人的评价。国家奖学金的评选以最终筛选成绩（算法参考《研究生</w:t>
      </w:r>
      <w:r>
        <w:rPr>
          <w:color w:val="auto"/>
          <w:sz w:val="24"/>
          <w:highlight w:val="none"/>
        </w:rPr>
        <w:t>手册</w:t>
      </w:r>
      <w:r>
        <w:rPr>
          <w:rFonts w:hint="eastAsia"/>
          <w:color w:val="auto"/>
          <w:sz w:val="24"/>
          <w:highlight w:val="none"/>
        </w:rPr>
        <w:t>》“硕士研究生课程学习奖优与黄牌说明”）为基础分，其它加分项说明如下：</w:t>
      </w:r>
    </w:p>
    <w:p w14:paraId="14730835">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（一） 德育综合表现满分为5分，其中基础评价3分、德育奖励及特殊表现2分。</w:t>
      </w:r>
    </w:p>
    <w:p w14:paraId="1C0E86D0">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1</w:t>
      </w:r>
      <w:r>
        <w:rPr>
          <w:color w:val="auto"/>
          <w:sz w:val="24"/>
          <w:highlight w:val="none"/>
        </w:rPr>
        <w:t xml:space="preserve">. </w:t>
      </w:r>
      <w:r>
        <w:rPr>
          <w:rFonts w:hint="eastAsia"/>
          <w:color w:val="auto"/>
          <w:sz w:val="24"/>
          <w:highlight w:val="none"/>
        </w:rPr>
        <w:t>基础评价（满分3分）</w:t>
      </w:r>
    </w:p>
    <w:p w14:paraId="74569DD2">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研究生基础评价分两个项目进行评比：职务加分和基础分，其中，职务加分满分为</w:t>
      </w:r>
      <w:r>
        <w:rPr>
          <w:color w:val="auto"/>
          <w:sz w:val="24"/>
          <w:highlight w:val="none"/>
        </w:rPr>
        <w:t>1</w:t>
      </w:r>
      <w:r>
        <w:rPr>
          <w:rFonts w:hint="eastAsia"/>
          <w:color w:val="auto"/>
          <w:sz w:val="24"/>
          <w:highlight w:val="none"/>
        </w:rPr>
        <w:t>分，最高可得</w:t>
      </w:r>
      <w:r>
        <w:rPr>
          <w:color w:val="auto"/>
          <w:sz w:val="24"/>
          <w:highlight w:val="none"/>
        </w:rPr>
        <w:t>1</w:t>
      </w:r>
      <w:r>
        <w:rPr>
          <w:rFonts w:hint="eastAsia"/>
          <w:color w:val="auto"/>
          <w:sz w:val="24"/>
          <w:highlight w:val="none"/>
        </w:rPr>
        <w:t>分，最低为</w:t>
      </w:r>
      <w:r>
        <w:rPr>
          <w:color w:val="auto"/>
          <w:sz w:val="24"/>
          <w:highlight w:val="none"/>
        </w:rPr>
        <w:t>0</w:t>
      </w:r>
      <w:r>
        <w:rPr>
          <w:rFonts w:hint="eastAsia"/>
          <w:color w:val="auto"/>
          <w:sz w:val="24"/>
          <w:highlight w:val="none"/>
        </w:rPr>
        <w:t>分</w:t>
      </w:r>
      <w:r>
        <w:rPr>
          <w:color w:val="auto"/>
          <w:sz w:val="24"/>
          <w:highlight w:val="none"/>
        </w:rPr>
        <w:t>。</w:t>
      </w:r>
      <w:r>
        <w:rPr>
          <w:rFonts w:hint="eastAsia"/>
          <w:color w:val="auto"/>
          <w:sz w:val="24"/>
          <w:highlight w:val="none"/>
        </w:rPr>
        <w:t>学生职务加分指研究生在学校研究生会社团、班级、党支部、团支部等担任的各项职务加分。其中涉及加分的学生必须任职期满一年，工作认真负责，出色完成工作任务。该项不可累加，加分时如兼任多种职务取最高任职得分。需要协同相关部门老师或辅导员提交相关证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6"/>
        <w:gridCol w:w="860"/>
      </w:tblGrid>
      <w:tr w14:paraId="5417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36" w:type="dxa"/>
          </w:tcPr>
          <w:p w14:paraId="39F16D56">
            <w:pPr>
              <w:spacing w:line="400" w:lineRule="exact"/>
              <w:jc w:val="center"/>
              <w:rPr>
                <w:rFonts w:ascii="宋体" w:hAnsi="宋体" w:cs="仿宋"/>
                <w:color w:val="auto"/>
                <w:sz w:val="24"/>
                <w:highlight w:val="none"/>
              </w:rPr>
            </w:pPr>
            <w:r>
              <w:rPr>
                <w:rFonts w:hint="eastAsia" w:ascii="宋体" w:hAnsi="宋体" w:cs="仿宋"/>
                <w:color w:val="auto"/>
                <w:sz w:val="24"/>
                <w:highlight w:val="none"/>
              </w:rPr>
              <w:t>加分项</w:t>
            </w:r>
          </w:p>
        </w:tc>
        <w:tc>
          <w:tcPr>
            <w:tcW w:w="860" w:type="dxa"/>
          </w:tcPr>
          <w:p w14:paraId="7DFC5361">
            <w:pPr>
              <w:spacing w:line="400" w:lineRule="exact"/>
              <w:jc w:val="center"/>
              <w:rPr>
                <w:rFonts w:ascii="宋体" w:hAnsi="宋体" w:cs="仿宋"/>
                <w:color w:val="auto"/>
                <w:sz w:val="24"/>
                <w:highlight w:val="none"/>
              </w:rPr>
            </w:pPr>
            <w:r>
              <w:rPr>
                <w:rFonts w:hint="eastAsia" w:ascii="宋体" w:hAnsi="宋体" w:cs="仿宋"/>
                <w:color w:val="auto"/>
                <w:sz w:val="24"/>
                <w:highlight w:val="none"/>
              </w:rPr>
              <w:t>标准</w:t>
            </w:r>
          </w:p>
        </w:tc>
      </w:tr>
      <w:tr w14:paraId="3507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36" w:type="dxa"/>
          </w:tcPr>
          <w:p w14:paraId="2D45C073">
            <w:pPr>
              <w:spacing w:line="400" w:lineRule="exact"/>
              <w:jc w:val="center"/>
              <w:rPr>
                <w:rFonts w:ascii="宋体" w:hAnsi="宋体" w:cs="仿宋"/>
                <w:color w:val="auto"/>
                <w:sz w:val="24"/>
                <w:highlight w:val="none"/>
              </w:rPr>
            </w:pPr>
            <w:r>
              <w:rPr>
                <w:rFonts w:hint="eastAsia" w:ascii="宋体" w:hAnsi="宋体" w:cs="仿宋"/>
                <w:color w:val="auto"/>
                <w:sz w:val="24"/>
                <w:highlight w:val="none"/>
              </w:rPr>
              <w:t>校研究生会主席团成员、学院兼职辅导员</w:t>
            </w:r>
          </w:p>
        </w:tc>
        <w:tc>
          <w:tcPr>
            <w:tcW w:w="860" w:type="dxa"/>
          </w:tcPr>
          <w:p w14:paraId="67F4CA73">
            <w:pPr>
              <w:spacing w:line="400" w:lineRule="exact"/>
              <w:jc w:val="center"/>
              <w:rPr>
                <w:color w:val="auto"/>
                <w:sz w:val="24"/>
                <w:highlight w:val="none"/>
              </w:rPr>
            </w:pPr>
            <w:r>
              <w:rPr>
                <w:color w:val="auto"/>
                <w:sz w:val="24"/>
                <w:highlight w:val="none"/>
              </w:rPr>
              <w:t>1</w:t>
            </w:r>
            <w:r>
              <w:rPr>
                <w:rFonts w:hint="eastAsia"/>
                <w:color w:val="auto"/>
                <w:sz w:val="24"/>
                <w:highlight w:val="none"/>
                <w:lang w:val="en-US" w:eastAsia="zh-CN"/>
              </w:rPr>
              <w:t>.</w:t>
            </w:r>
            <w:r>
              <w:rPr>
                <w:rFonts w:hint="eastAsia"/>
                <w:color w:val="auto"/>
                <w:sz w:val="24"/>
                <w:highlight w:val="none"/>
              </w:rPr>
              <w:t>0</w:t>
            </w:r>
          </w:p>
        </w:tc>
      </w:tr>
      <w:tr w14:paraId="784B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36" w:type="dxa"/>
          </w:tcPr>
          <w:p w14:paraId="7EAC4A37">
            <w:pPr>
              <w:spacing w:line="400" w:lineRule="exact"/>
              <w:jc w:val="center"/>
              <w:rPr>
                <w:rFonts w:ascii="宋体" w:hAnsi="宋体" w:cs="仿宋"/>
                <w:color w:val="auto"/>
                <w:sz w:val="24"/>
                <w:highlight w:val="none"/>
              </w:rPr>
            </w:pPr>
            <w:r>
              <w:rPr>
                <w:rFonts w:hint="eastAsia" w:ascii="宋体" w:hAnsi="宋体" w:cs="仿宋"/>
                <w:color w:val="auto"/>
                <w:sz w:val="24"/>
                <w:highlight w:val="none"/>
              </w:rPr>
              <w:t>党支部书记、班长、校研究生会部长、团支书</w:t>
            </w:r>
          </w:p>
        </w:tc>
        <w:tc>
          <w:tcPr>
            <w:tcW w:w="860" w:type="dxa"/>
          </w:tcPr>
          <w:p w14:paraId="32A8297A">
            <w:pPr>
              <w:spacing w:line="400" w:lineRule="exact"/>
              <w:jc w:val="center"/>
              <w:rPr>
                <w:color w:val="auto"/>
                <w:sz w:val="24"/>
                <w:highlight w:val="none"/>
              </w:rPr>
            </w:pPr>
            <w:r>
              <w:rPr>
                <w:color w:val="auto"/>
                <w:sz w:val="24"/>
                <w:highlight w:val="none"/>
              </w:rPr>
              <w:t>0.6</w:t>
            </w:r>
          </w:p>
        </w:tc>
      </w:tr>
      <w:tr w14:paraId="5F23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36" w:type="dxa"/>
          </w:tcPr>
          <w:p w14:paraId="13C7AF18">
            <w:pPr>
              <w:spacing w:line="400" w:lineRule="exact"/>
              <w:jc w:val="center"/>
              <w:rPr>
                <w:rFonts w:ascii="宋体" w:hAnsi="宋体" w:cs="仿宋"/>
                <w:color w:val="auto"/>
                <w:sz w:val="24"/>
                <w:highlight w:val="none"/>
              </w:rPr>
            </w:pPr>
            <w:r>
              <w:rPr>
                <w:rFonts w:hint="eastAsia" w:ascii="宋体" w:hAnsi="宋体" w:cs="仿宋"/>
                <w:color w:val="auto"/>
                <w:sz w:val="24"/>
                <w:highlight w:val="none"/>
              </w:rPr>
              <w:t>校研究生会副部长、党支委、班委、团支委</w:t>
            </w:r>
          </w:p>
        </w:tc>
        <w:tc>
          <w:tcPr>
            <w:tcW w:w="860" w:type="dxa"/>
          </w:tcPr>
          <w:p w14:paraId="6E94D7B3">
            <w:pPr>
              <w:spacing w:line="400" w:lineRule="exact"/>
              <w:jc w:val="center"/>
              <w:rPr>
                <w:color w:val="auto"/>
                <w:sz w:val="24"/>
                <w:highlight w:val="none"/>
              </w:rPr>
            </w:pPr>
            <w:r>
              <w:rPr>
                <w:color w:val="auto"/>
                <w:sz w:val="24"/>
                <w:highlight w:val="none"/>
              </w:rPr>
              <w:t>0.4</w:t>
            </w:r>
          </w:p>
        </w:tc>
      </w:tr>
    </w:tbl>
    <w:p w14:paraId="3B80BE22">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基础分为</w:t>
      </w:r>
      <w:r>
        <w:rPr>
          <w:color w:val="auto"/>
          <w:sz w:val="24"/>
          <w:highlight w:val="none"/>
        </w:rPr>
        <w:t>2</w:t>
      </w:r>
      <w:r>
        <w:rPr>
          <w:rFonts w:hint="eastAsia"/>
          <w:color w:val="auto"/>
          <w:sz w:val="24"/>
          <w:highlight w:val="none"/>
        </w:rPr>
        <w:t>分，符合申请条件、在申报范围内的，即获得满分。</w:t>
      </w:r>
    </w:p>
    <w:p w14:paraId="550B0035">
      <w:pPr>
        <w:autoSpaceDE w:val="0"/>
        <w:autoSpaceDN w:val="0"/>
        <w:adjustRightInd w:val="0"/>
        <w:spacing w:line="300" w:lineRule="auto"/>
        <w:ind w:firstLine="480" w:firstLineChars="200"/>
        <w:jc w:val="left"/>
        <w:rPr>
          <w:color w:val="auto"/>
          <w:sz w:val="24"/>
          <w:highlight w:val="none"/>
        </w:rPr>
      </w:pPr>
      <w:r>
        <w:rPr>
          <w:color w:val="auto"/>
          <w:sz w:val="24"/>
          <w:highlight w:val="none"/>
        </w:rPr>
        <w:t>2.</w:t>
      </w:r>
      <w:r>
        <w:rPr>
          <w:rFonts w:ascii="宋体" w:hAnsi="宋体" w:cs="仿宋"/>
          <w:color w:val="auto"/>
          <w:sz w:val="24"/>
          <w:highlight w:val="none"/>
        </w:rPr>
        <w:t xml:space="preserve"> </w:t>
      </w:r>
      <w:r>
        <w:rPr>
          <w:rFonts w:hint="eastAsia"/>
          <w:color w:val="auto"/>
          <w:sz w:val="24"/>
          <w:highlight w:val="none"/>
        </w:rPr>
        <w:t>德育奖励和</w:t>
      </w:r>
      <w:r>
        <w:rPr>
          <w:color w:val="auto"/>
          <w:sz w:val="24"/>
          <w:highlight w:val="none"/>
        </w:rPr>
        <w:t>特殊表现</w:t>
      </w:r>
      <w:r>
        <w:rPr>
          <w:rFonts w:hint="eastAsia"/>
          <w:color w:val="auto"/>
          <w:sz w:val="24"/>
          <w:highlight w:val="none"/>
        </w:rPr>
        <w:t>（满分2分）</w:t>
      </w:r>
    </w:p>
    <w:p w14:paraId="2213D3A3">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对获得校级及以上荣誉的研究生进行加分，取学生</w:t>
      </w:r>
      <w:r>
        <w:rPr>
          <w:rFonts w:hint="eastAsia"/>
          <w:b w:val="0"/>
          <w:bCs w:val="0"/>
          <w:color w:val="auto"/>
          <w:sz w:val="24"/>
          <w:highlight w:val="none"/>
          <w:lang w:val="en-US" w:eastAsia="zh-CN"/>
        </w:rPr>
        <w:t>获得</w:t>
      </w:r>
      <w:r>
        <w:rPr>
          <w:rFonts w:hint="eastAsia"/>
          <w:color w:val="auto"/>
          <w:sz w:val="24"/>
          <w:highlight w:val="none"/>
        </w:rPr>
        <w:t>荣誉对应分值最高项目加分，各项目得分不累加。具体分值和对应荣誉项目如下：</w:t>
      </w:r>
    </w:p>
    <w:p w14:paraId="6DAADAA5">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（1）2分：国家级个人荣誉；</w:t>
      </w:r>
    </w:p>
    <w:p w14:paraId="4E92E241">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）1.</w:t>
      </w:r>
      <w:r>
        <w:rPr>
          <w:color w:val="auto"/>
          <w:sz w:val="24"/>
          <w:highlight w:val="none"/>
        </w:rPr>
        <w:t>8</w:t>
      </w:r>
      <w:r>
        <w:rPr>
          <w:rFonts w:hint="eastAsia"/>
          <w:color w:val="auto"/>
          <w:sz w:val="24"/>
          <w:highlight w:val="none"/>
        </w:rPr>
        <w:t>分：省级个人荣誉奖励、校级个人荣誉奖励标兵；</w:t>
      </w:r>
    </w:p>
    <w:p w14:paraId="73FEAA42">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）1.5分：校级个人荣誉奖励；</w:t>
      </w:r>
    </w:p>
    <w:p w14:paraId="0BD68D3B">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）1分：威海校区个人荣誉奖励。</w:t>
      </w:r>
    </w:p>
    <w:p w14:paraId="0ACCFF25">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3. 特殊表现：对有见义勇为、拾金不昧等表现，或在某方面做出突出贡献，并引起一定校园、社会反响的学生由</w:t>
      </w:r>
      <w:r>
        <w:rPr>
          <w:color w:val="auto"/>
          <w:sz w:val="24"/>
          <w:highlight w:val="none"/>
        </w:rPr>
        <w:t>评选小组讨论加分</w:t>
      </w:r>
      <w:r>
        <w:rPr>
          <w:rFonts w:hint="eastAsia"/>
          <w:color w:val="auto"/>
          <w:sz w:val="24"/>
          <w:highlight w:val="none"/>
        </w:rPr>
        <w:t>（1-2分）。</w:t>
      </w:r>
    </w:p>
    <w:p w14:paraId="7564EAC1">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（德育奖励和特殊表现可合并计分，两项总分不超过2分。）</w:t>
      </w:r>
    </w:p>
    <w:p w14:paraId="035CEA3D">
      <w:pPr>
        <w:autoSpaceDE w:val="0"/>
        <w:autoSpaceDN w:val="0"/>
        <w:adjustRightInd w:val="0"/>
        <w:spacing w:line="300" w:lineRule="auto"/>
        <w:ind w:firstLine="480" w:firstLineChars="200"/>
        <w:jc w:val="left"/>
        <w:rPr>
          <w:color w:val="auto"/>
          <w:sz w:val="24"/>
          <w:highlight w:val="none"/>
        </w:rPr>
      </w:pPr>
    </w:p>
    <w:p w14:paraId="3B8EF6C8">
      <w:pPr>
        <w:autoSpaceDE w:val="0"/>
        <w:autoSpaceDN w:val="0"/>
        <w:adjustRightInd w:val="0"/>
        <w:spacing w:line="300" w:lineRule="auto"/>
        <w:ind w:firstLine="480" w:firstLineChars="200"/>
        <w:jc w:val="left"/>
        <w:rPr>
          <w:color w:val="auto"/>
          <w:sz w:val="24"/>
          <w:highlight w:val="none"/>
        </w:rPr>
      </w:pPr>
      <w:r>
        <w:rPr>
          <w:color w:val="auto"/>
          <w:sz w:val="24"/>
          <w:highlight w:val="none"/>
        </w:rPr>
        <w:t>（</w:t>
      </w:r>
      <w:r>
        <w:rPr>
          <w:rFonts w:hint="eastAsia"/>
          <w:color w:val="auto"/>
          <w:sz w:val="24"/>
          <w:highlight w:val="none"/>
        </w:rPr>
        <w:t>二</w:t>
      </w:r>
      <w:r>
        <w:rPr>
          <w:color w:val="auto"/>
          <w:sz w:val="24"/>
          <w:highlight w:val="none"/>
        </w:rPr>
        <w:t>）</w:t>
      </w:r>
      <w:r>
        <w:rPr>
          <w:rFonts w:hint="eastAsia"/>
          <w:color w:val="auto"/>
          <w:sz w:val="24"/>
          <w:highlight w:val="none"/>
        </w:rPr>
        <w:t>在科研工作中发挥积极作用，科研能力突出，具有良好的发展潜力，有学术论文发表和专利等成果的优先考虑。</w:t>
      </w:r>
    </w:p>
    <w:p w14:paraId="769E3C7B">
      <w:pPr>
        <w:spacing w:line="300" w:lineRule="auto"/>
        <w:ind w:firstLine="480" w:firstLineChars="200"/>
        <w:rPr>
          <w:color w:val="auto"/>
          <w:sz w:val="24"/>
          <w:highlight w:val="none"/>
        </w:rPr>
      </w:pPr>
      <w:r>
        <w:rPr>
          <w:rFonts w:hint="eastAsia"/>
          <w:color w:val="auto"/>
          <w:sz w:val="24"/>
          <w:highlight w:val="none"/>
        </w:rPr>
        <w:t>具体打分项目及分值如下：</w:t>
      </w:r>
    </w:p>
    <w:tbl>
      <w:tblPr>
        <w:tblStyle w:val="8"/>
        <w:tblW w:w="83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1394"/>
        <w:gridCol w:w="1554"/>
      </w:tblGrid>
      <w:tr w14:paraId="398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2F83351E">
            <w:pPr>
              <w:spacing w:line="300" w:lineRule="auto"/>
              <w:jc w:val="center"/>
              <w:rPr>
                <w:rFonts w:eastAsia="黑体"/>
                <w:color w:val="auto"/>
                <w:sz w:val="24"/>
                <w:highlight w:val="none"/>
              </w:rPr>
            </w:pPr>
            <w:r>
              <w:rPr>
                <w:rFonts w:eastAsia="黑体"/>
                <w:color w:val="auto"/>
                <w:sz w:val="24"/>
                <w:highlight w:val="none"/>
              </w:rPr>
              <w:t>打分项目</w:t>
            </w:r>
          </w:p>
        </w:tc>
        <w:tc>
          <w:tcPr>
            <w:tcW w:w="2948" w:type="dxa"/>
            <w:gridSpan w:val="2"/>
            <w:shd w:val="clear" w:color="auto" w:fill="auto"/>
            <w:vAlign w:val="center"/>
          </w:tcPr>
          <w:p w14:paraId="5799923E">
            <w:pPr>
              <w:spacing w:line="300" w:lineRule="auto"/>
              <w:jc w:val="center"/>
              <w:rPr>
                <w:rFonts w:eastAsia="黑体"/>
                <w:color w:val="auto"/>
                <w:sz w:val="24"/>
                <w:highlight w:val="none"/>
              </w:rPr>
            </w:pPr>
            <w:r>
              <w:rPr>
                <w:rFonts w:eastAsia="黑体"/>
                <w:color w:val="auto"/>
                <w:sz w:val="24"/>
                <w:highlight w:val="none"/>
              </w:rPr>
              <w:t>分值</w:t>
            </w:r>
          </w:p>
        </w:tc>
      </w:tr>
      <w:tr w14:paraId="28E1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55706E33">
            <w:pPr>
              <w:spacing w:line="300" w:lineRule="auto"/>
              <w:jc w:val="center"/>
              <w:rPr>
                <w:color w:val="auto"/>
                <w:sz w:val="24"/>
                <w:highlight w:val="none"/>
              </w:rPr>
            </w:pPr>
            <w:r>
              <w:rPr>
                <w:color w:val="auto"/>
                <w:sz w:val="24"/>
                <w:highlight w:val="none"/>
              </w:rPr>
              <w:t>国家（省）学生科技立项前2名</w:t>
            </w:r>
          </w:p>
        </w:tc>
        <w:tc>
          <w:tcPr>
            <w:tcW w:w="2948" w:type="dxa"/>
            <w:gridSpan w:val="2"/>
            <w:shd w:val="clear" w:color="auto" w:fill="auto"/>
            <w:vAlign w:val="center"/>
          </w:tcPr>
          <w:p w14:paraId="55409004">
            <w:pPr>
              <w:spacing w:line="300" w:lineRule="auto"/>
              <w:jc w:val="center"/>
              <w:rPr>
                <w:color w:val="auto"/>
                <w:sz w:val="24"/>
                <w:highlight w:val="none"/>
              </w:rPr>
            </w:pPr>
            <w:r>
              <w:rPr>
                <w:color w:val="auto"/>
                <w:sz w:val="24"/>
                <w:highlight w:val="none"/>
              </w:rPr>
              <w:t>3（2）</w:t>
            </w:r>
          </w:p>
        </w:tc>
      </w:tr>
      <w:tr w14:paraId="415B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76F9F255">
            <w:pPr>
              <w:spacing w:line="300" w:lineRule="auto"/>
              <w:jc w:val="center"/>
              <w:rPr>
                <w:color w:val="auto"/>
                <w:sz w:val="24"/>
                <w:highlight w:val="none"/>
              </w:rPr>
            </w:pPr>
            <w:r>
              <w:rPr>
                <w:color w:val="auto"/>
                <w:sz w:val="24"/>
                <w:highlight w:val="none"/>
              </w:rPr>
              <w:t>科技竞赛国家（省）1、2、3等奖前2名</w:t>
            </w:r>
          </w:p>
        </w:tc>
        <w:tc>
          <w:tcPr>
            <w:tcW w:w="2948" w:type="dxa"/>
            <w:gridSpan w:val="2"/>
            <w:shd w:val="clear" w:color="auto" w:fill="auto"/>
            <w:vAlign w:val="center"/>
          </w:tcPr>
          <w:p w14:paraId="6DD28C41">
            <w:pPr>
              <w:spacing w:line="300" w:lineRule="auto"/>
              <w:jc w:val="center"/>
              <w:rPr>
                <w:color w:val="auto"/>
                <w:sz w:val="24"/>
                <w:highlight w:val="none"/>
              </w:rPr>
            </w:pPr>
            <w:r>
              <w:rPr>
                <w:color w:val="auto"/>
                <w:sz w:val="24"/>
                <w:highlight w:val="none"/>
              </w:rPr>
              <w:t>3（2）、2（1）、1（0.5）</w:t>
            </w:r>
          </w:p>
        </w:tc>
      </w:tr>
      <w:tr w14:paraId="1C4D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70CA0873">
            <w:pPr>
              <w:spacing w:line="300" w:lineRule="auto"/>
              <w:jc w:val="center"/>
              <w:rPr>
                <w:color w:val="auto"/>
                <w:sz w:val="24"/>
                <w:highlight w:val="none"/>
              </w:rPr>
            </w:pPr>
            <w:r>
              <w:rPr>
                <w:color w:val="auto"/>
                <w:sz w:val="24"/>
                <w:highlight w:val="none"/>
              </w:rPr>
              <w:t>国外（国内）国际学术会议</w:t>
            </w:r>
            <w:r>
              <w:rPr>
                <w:rFonts w:hint="eastAsia"/>
                <w:color w:val="auto"/>
                <w:sz w:val="24"/>
                <w:highlight w:val="none"/>
              </w:rPr>
              <w:t>做</w:t>
            </w:r>
            <w:r>
              <w:rPr>
                <w:color w:val="auto"/>
                <w:sz w:val="24"/>
                <w:highlight w:val="none"/>
              </w:rPr>
              <w:t>报告、</w:t>
            </w:r>
            <w:r>
              <w:rPr>
                <w:rFonts w:hint="eastAsia"/>
                <w:color w:val="auto"/>
                <w:sz w:val="24"/>
                <w:highlight w:val="none"/>
              </w:rPr>
              <w:t>录用论文</w:t>
            </w:r>
          </w:p>
        </w:tc>
        <w:tc>
          <w:tcPr>
            <w:tcW w:w="2948" w:type="dxa"/>
            <w:gridSpan w:val="2"/>
            <w:shd w:val="clear" w:color="auto" w:fill="auto"/>
            <w:vAlign w:val="center"/>
          </w:tcPr>
          <w:p w14:paraId="11B3082F">
            <w:pPr>
              <w:spacing w:line="300" w:lineRule="auto"/>
              <w:jc w:val="center"/>
              <w:rPr>
                <w:color w:val="auto"/>
                <w:sz w:val="24"/>
                <w:highlight w:val="none"/>
              </w:rPr>
            </w:pPr>
            <w:r>
              <w:rPr>
                <w:color w:val="auto"/>
                <w:sz w:val="24"/>
                <w:highlight w:val="none"/>
              </w:rPr>
              <w:t>3（1）、1.5（0.6）</w:t>
            </w:r>
          </w:p>
        </w:tc>
      </w:tr>
      <w:tr w14:paraId="10D6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6C45A682">
            <w:pPr>
              <w:spacing w:line="300" w:lineRule="auto"/>
              <w:jc w:val="center"/>
              <w:rPr>
                <w:color w:val="auto"/>
                <w:sz w:val="24"/>
                <w:highlight w:val="none"/>
              </w:rPr>
            </w:pPr>
            <w:r>
              <w:rPr>
                <w:color w:val="auto"/>
                <w:sz w:val="24"/>
                <w:highlight w:val="none"/>
              </w:rPr>
              <w:t>国内学术会议</w:t>
            </w:r>
            <w:r>
              <w:rPr>
                <w:rFonts w:hint="eastAsia"/>
                <w:color w:val="auto"/>
                <w:sz w:val="24"/>
                <w:highlight w:val="none"/>
              </w:rPr>
              <w:t>做</w:t>
            </w:r>
            <w:r>
              <w:rPr>
                <w:color w:val="auto"/>
                <w:sz w:val="24"/>
                <w:highlight w:val="none"/>
              </w:rPr>
              <w:t>报告、</w:t>
            </w:r>
            <w:r>
              <w:rPr>
                <w:rFonts w:hint="eastAsia"/>
                <w:color w:val="auto"/>
                <w:sz w:val="24"/>
                <w:highlight w:val="none"/>
              </w:rPr>
              <w:t>录用论文</w:t>
            </w:r>
            <w:r>
              <w:rPr>
                <w:rFonts w:hint="eastAsia"/>
                <w:color w:val="auto"/>
                <w:sz w:val="24"/>
                <w:highlight w:val="none"/>
                <w:lang w:val="en-US" w:eastAsia="zh-CN"/>
              </w:rPr>
              <w:t>的</w:t>
            </w:r>
            <w:r>
              <w:rPr>
                <w:color w:val="auto"/>
                <w:sz w:val="24"/>
                <w:highlight w:val="none"/>
              </w:rPr>
              <w:t>第一作者、第二作者（导师一作）</w:t>
            </w:r>
          </w:p>
        </w:tc>
        <w:tc>
          <w:tcPr>
            <w:tcW w:w="2948" w:type="dxa"/>
            <w:gridSpan w:val="2"/>
            <w:shd w:val="clear" w:color="auto" w:fill="auto"/>
            <w:vAlign w:val="center"/>
          </w:tcPr>
          <w:p w14:paraId="4711CC47">
            <w:pPr>
              <w:spacing w:line="300" w:lineRule="auto"/>
              <w:jc w:val="center"/>
              <w:rPr>
                <w:color w:val="auto"/>
                <w:sz w:val="24"/>
                <w:highlight w:val="none"/>
              </w:rPr>
            </w:pPr>
            <w:r>
              <w:rPr>
                <w:color w:val="auto"/>
                <w:sz w:val="24"/>
                <w:highlight w:val="none"/>
              </w:rPr>
              <w:t>0.8、0.4</w:t>
            </w:r>
          </w:p>
        </w:tc>
      </w:tr>
      <w:tr w14:paraId="1FF7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387" w:type="dxa"/>
            <w:vMerge w:val="restart"/>
            <w:shd w:val="clear" w:color="auto" w:fill="auto"/>
            <w:vAlign w:val="center"/>
          </w:tcPr>
          <w:p w14:paraId="5552FDA7">
            <w:pPr>
              <w:spacing w:line="300" w:lineRule="auto"/>
              <w:jc w:val="center"/>
              <w:rPr>
                <w:color w:val="auto"/>
                <w:sz w:val="24"/>
                <w:highlight w:val="none"/>
              </w:rPr>
            </w:pPr>
            <w:r>
              <w:rPr>
                <w:color w:val="auto"/>
                <w:sz w:val="24"/>
                <w:highlight w:val="none"/>
              </w:rPr>
              <w:t>正式录用或发表的SCI论文</w:t>
            </w:r>
            <w:bookmarkStart w:id="0" w:name="OLE_LINK1"/>
            <w:r>
              <w:rPr>
                <w:color w:val="auto"/>
                <w:sz w:val="24"/>
                <w:highlight w:val="none"/>
              </w:rPr>
              <w:t>第一作者、第二作者（导师一作）</w:t>
            </w:r>
            <w:bookmarkEnd w:id="0"/>
            <w:r>
              <w:rPr>
                <w:color w:val="auto"/>
                <w:sz w:val="24"/>
                <w:highlight w:val="none"/>
              </w:rPr>
              <w:t>（按中科院分区）</w:t>
            </w:r>
          </w:p>
        </w:tc>
        <w:tc>
          <w:tcPr>
            <w:tcW w:w="1394" w:type="dxa"/>
            <w:shd w:val="clear" w:color="auto" w:fill="auto"/>
            <w:vAlign w:val="center"/>
          </w:tcPr>
          <w:p w14:paraId="6BD9DCC3">
            <w:pPr>
              <w:spacing w:line="300" w:lineRule="auto"/>
              <w:jc w:val="center"/>
              <w:rPr>
                <w:color w:val="auto"/>
                <w:sz w:val="24"/>
                <w:highlight w:val="none"/>
              </w:rPr>
            </w:pPr>
            <w:r>
              <w:rPr>
                <w:rFonts w:hint="eastAsia"/>
                <w:color w:val="auto"/>
                <w:sz w:val="24"/>
                <w:highlight w:val="none"/>
              </w:rPr>
              <w:t>一区</w:t>
            </w:r>
          </w:p>
        </w:tc>
        <w:tc>
          <w:tcPr>
            <w:tcW w:w="1554" w:type="dxa"/>
            <w:shd w:val="clear" w:color="auto" w:fill="auto"/>
            <w:vAlign w:val="center"/>
          </w:tcPr>
          <w:p w14:paraId="138E9956">
            <w:pPr>
              <w:spacing w:line="300" w:lineRule="auto"/>
              <w:jc w:val="center"/>
              <w:rPr>
                <w:color w:val="auto"/>
                <w:sz w:val="24"/>
                <w:highlight w:val="none"/>
              </w:rPr>
            </w:pPr>
            <w:r>
              <w:rPr>
                <w:color w:val="auto"/>
                <w:sz w:val="24"/>
                <w:highlight w:val="none"/>
              </w:rPr>
              <w:t>4</w:t>
            </w:r>
          </w:p>
        </w:tc>
      </w:tr>
      <w:tr w14:paraId="5DD5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87" w:type="dxa"/>
            <w:vMerge w:val="continue"/>
            <w:shd w:val="clear" w:color="auto" w:fill="auto"/>
            <w:vAlign w:val="center"/>
          </w:tcPr>
          <w:p w14:paraId="79772330">
            <w:pPr>
              <w:spacing w:line="300" w:lineRule="auto"/>
              <w:jc w:val="center"/>
              <w:rPr>
                <w:color w:val="auto"/>
                <w:sz w:val="24"/>
                <w:highlight w:val="none"/>
              </w:rPr>
            </w:pPr>
          </w:p>
        </w:tc>
        <w:tc>
          <w:tcPr>
            <w:tcW w:w="1394" w:type="dxa"/>
            <w:shd w:val="clear" w:color="auto" w:fill="auto"/>
            <w:vAlign w:val="center"/>
          </w:tcPr>
          <w:p w14:paraId="6A8DD29C">
            <w:pPr>
              <w:spacing w:line="300" w:lineRule="auto"/>
              <w:jc w:val="center"/>
              <w:rPr>
                <w:color w:val="auto"/>
                <w:sz w:val="24"/>
                <w:highlight w:val="none"/>
              </w:rPr>
            </w:pPr>
            <w:r>
              <w:rPr>
                <w:rFonts w:hint="eastAsia"/>
                <w:color w:val="auto"/>
                <w:sz w:val="24"/>
                <w:highlight w:val="none"/>
              </w:rPr>
              <w:t>二区</w:t>
            </w:r>
          </w:p>
        </w:tc>
        <w:tc>
          <w:tcPr>
            <w:tcW w:w="1554" w:type="dxa"/>
            <w:shd w:val="clear" w:color="auto" w:fill="auto"/>
            <w:vAlign w:val="center"/>
          </w:tcPr>
          <w:p w14:paraId="7E9DB92C">
            <w:pPr>
              <w:spacing w:line="300" w:lineRule="auto"/>
              <w:jc w:val="center"/>
              <w:rPr>
                <w:color w:val="auto"/>
                <w:sz w:val="24"/>
                <w:highlight w:val="none"/>
              </w:rPr>
            </w:pPr>
            <w:r>
              <w:rPr>
                <w:color w:val="auto"/>
                <w:sz w:val="24"/>
                <w:highlight w:val="none"/>
              </w:rPr>
              <w:t>3</w:t>
            </w:r>
          </w:p>
        </w:tc>
      </w:tr>
      <w:tr w14:paraId="3858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387" w:type="dxa"/>
            <w:vMerge w:val="continue"/>
            <w:shd w:val="clear" w:color="auto" w:fill="auto"/>
            <w:vAlign w:val="center"/>
          </w:tcPr>
          <w:p w14:paraId="40EEF6C6">
            <w:pPr>
              <w:spacing w:line="300" w:lineRule="auto"/>
              <w:jc w:val="center"/>
              <w:rPr>
                <w:color w:val="auto"/>
                <w:sz w:val="24"/>
                <w:highlight w:val="none"/>
              </w:rPr>
            </w:pPr>
          </w:p>
        </w:tc>
        <w:tc>
          <w:tcPr>
            <w:tcW w:w="1394" w:type="dxa"/>
            <w:shd w:val="clear" w:color="auto" w:fill="auto"/>
            <w:vAlign w:val="center"/>
          </w:tcPr>
          <w:p w14:paraId="2A7DD4C9">
            <w:pPr>
              <w:spacing w:line="300" w:lineRule="auto"/>
              <w:jc w:val="center"/>
              <w:rPr>
                <w:color w:val="auto"/>
                <w:sz w:val="24"/>
                <w:highlight w:val="none"/>
              </w:rPr>
            </w:pPr>
            <w:r>
              <w:rPr>
                <w:rFonts w:hint="eastAsia"/>
                <w:color w:val="auto"/>
                <w:sz w:val="24"/>
                <w:highlight w:val="none"/>
              </w:rPr>
              <w:t>三区</w:t>
            </w:r>
          </w:p>
        </w:tc>
        <w:tc>
          <w:tcPr>
            <w:tcW w:w="1554" w:type="dxa"/>
            <w:shd w:val="clear" w:color="auto" w:fill="auto"/>
            <w:vAlign w:val="center"/>
          </w:tcPr>
          <w:p w14:paraId="0C08D8F7">
            <w:pPr>
              <w:spacing w:line="300" w:lineRule="auto"/>
              <w:jc w:val="center"/>
              <w:rPr>
                <w:color w:val="auto"/>
                <w:sz w:val="24"/>
                <w:highlight w:val="none"/>
              </w:rPr>
            </w:pPr>
            <w:r>
              <w:rPr>
                <w:color w:val="auto"/>
                <w:sz w:val="24"/>
                <w:highlight w:val="none"/>
              </w:rPr>
              <w:t>2</w:t>
            </w:r>
          </w:p>
        </w:tc>
      </w:tr>
      <w:tr w14:paraId="3CA0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5387" w:type="dxa"/>
            <w:vMerge w:val="continue"/>
            <w:shd w:val="clear" w:color="auto" w:fill="auto"/>
            <w:vAlign w:val="center"/>
          </w:tcPr>
          <w:p w14:paraId="6151939F">
            <w:pPr>
              <w:spacing w:line="300" w:lineRule="auto"/>
              <w:jc w:val="center"/>
              <w:rPr>
                <w:color w:val="auto"/>
                <w:sz w:val="24"/>
                <w:highlight w:val="none"/>
              </w:rPr>
            </w:pPr>
          </w:p>
        </w:tc>
        <w:tc>
          <w:tcPr>
            <w:tcW w:w="1394" w:type="dxa"/>
            <w:shd w:val="clear" w:color="auto" w:fill="auto"/>
            <w:vAlign w:val="center"/>
          </w:tcPr>
          <w:p w14:paraId="11992EAE">
            <w:pPr>
              <w:spacing w:line="300" w:lineRule="auto"/>
              <w:jc w:val="center"/>
              <w:rPr>
                <w:color w:val="auto"/>
                <w:sz w:val="24"/>
                <w:highlight w:val="none"/>
              </w:rPr>
            </w:pPr>
            <w:r>
              <w:rPr>
                <w:rFonts w:hint="eastAsia"/>
                <w:color w:val="auto"/>
                <w:sz w:val="24"/>
                <w:highlight w:val="none"/>
              </w:rPr>
              <w:t>四区</w:t>
            </w:r>
          </w:p>
        </w:tc>
        <w:tc>
          <w:tcPr>
            <w:tcW w:w="1554" w:type="dxa"/>
            <w:shd w:val="clear" w:color="auto" w:fill="auto"/>
            <w:vAlign w:val="center"/>
          </w:tcPr>
          <w:p w14:paraId="2200EE56">
            <w:pPr>
              <w:spacing w:line="300" w:lineRule="auto"/>
              <w:jc w:val="center"/>
              <w:rPr>
                <w:color w:val="auto"/>
                <w:sz w:val="24"/>
                <w:highlight w:val="none"/>
              </w:rPr>
            </w:pPr>
            <w:r>
              <w:rPr>
                <w:color w:val="auto"/>
                <w:sz w:val="24"/>
                <w:highlight w:val="none"/>
              </w:rPr>
              <w:t>1</w:t>
            </w:r>
          </w:p>
        </w:tc>
      </w:tr>
      <w:tr w14:paraId="66FE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67B9844A">
            <w:pPr>
              <w:spacing w:line="300" w:lineRule="auto"/>
              <w:jc w:val="center"/>
              <w:rPr>
                <w:color w:val="auto"/>
                <w:sz w:val="24"/>
                <w:highlight w:val="none"/>
              </w:rPr>
            </w:pPr>
            <w:r>
              <w:rPr>
                <w:color w:val="auto"/>
                <w:sz w:val="24"/>
                <w:highlight w:val="none"/>
              </w:rPr>
              <w:t>正式录用或发表的EI期刊论文第一作者、第二作者（导师一作）</w:t>
            </w:r>
          </w:p>
        </w:tc>
        <w:tc>
          <w:tcPr>
            <w:tcW w:w="2948" w:type="dxa"/>
            <w:gridSpan w:val="2"/>
            <w:shd w:val="clear" w:color="auto" w:fill="auto"/>
            <w:vAlign w:val="center"/>
          </w:tcPr>
          <w:p w14:paraId="5314FB6D">
            <w:pPr>
              <w:spacing w:line="300" w:lineRule="auto"/>
              <w:jc w:val="center"/>
              <w:rPr>
                <w:color w:val="auto"/>
                <w:sz w:val="24"/>
                <w:highlight w:val="none"/>
              </w:rPr>
            </w:pPr>
            <w:r>
              <w:rPr>
                <w:color w:val="auto"/>
                <w:sz w:val="24"/>
                <w:highlight w:val="none"/>
              </w:rPr>
              <w:t>0.8</w:t>
            </w:r>
          </w:p>
        </w:tc>
      </w:tr>
      <w:tr w14:paraId="0068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46770C00">
            <w:pPr>
              <w:spacing w:line="300" w:lineRule="auto"/>
              <w:jc w:val="center"/>
              <w:rPr>
                <w:color w:val="auto"/>
                <w:sz w:val="24"/>
                <w:highlight w:val="none"/>
              </w:rPr>
            </w:pPr>
            <w:r>
              <w:rPr>
                <w:color w:val="auto"/>
                <w:sz w:val="24"/>
                <w:highlight w:val="none"/>
              </w:rPr>
              <w:t>正式录用或发表的</w:t>
            </w:r>
            <w:r>
              <w:rPr>
                <w:rFonts w:hint="eastAsia"/>
                <w:color w:val="auto"/>
                <w:sz w:val="24"/>
                <w:highlight w:val="none"/>
              </w:rPr>
              <w:t>北大</w:t>
            </w:r>
            <w:r>
              <w:rPr>
                <w:color w:val="auto"/>
                <w:sz w:val="24"/>
                <w:highlight w:val="none"/>
              </w:rPr>
              <w:t>核心</w:t>
            </w:r>
            <w:r>
              <w:rPr>
                <w:rFonts w:hint="eastAsia"/>
                <w:color w:val="auto"/>
                <w:sz w:val="24"/>
                <w:highlight w:val="none"/>
              </w:rPr>
              <w:t>期刊</w:t>
            </w:r>
            <w:r>
              <w:rPr>
                <w:color w:val="auto"/>
                <w:sz w:val="24"/>
                <w:highlight w:val="none"/>
              </w:rPr>
              <w:t>论文第一作者</w:t>
            </w:r>
          </w:p>
        </w:tc>
        <w:tc>
          <w:tcPr>
            <w:tcW w:w="2948" w:type="dxa"/>
            <w:gridSpan w:val="2"/>
            <w:shd w:val="clear" w:color="auto" w:fill="auto"/>
            <w:vAlign w:val="center"/>
          </w:tcPr>
          <w:p w14:paraId="601428A6">
            <w:pPr>
              <w:spacing w:line="300" w:lineRule="auto"/>
              <w:jc w:val="center"/>
              <w:rPr>
                <w:color w:val="auto"/>
                <w:sz w:val="24"/>
                <w:highlight w:val="none"/>
              </w:rPr>
            </w:pPr>
            <w:r>
              <w:rPr>
                <w:color w:val="auto"/>
                <w:sz w:val="24"/>
                <w:highlight w:val="none"/>
              </w:rPr>
              <w:t>0.8</w:t>
            </w:r>
          </w:p>
        </w:tc>
      </w:tr>
      <w:tr w14:paraId="7249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3F72C0ED">
            <w:pPr>
              <w:spacing w:line="300" w:lineRule="auto"/>
              <w:jc w:val="center"/>
              <w:rPr>
                <w:color w:val="auto"/>
                <w:sz w:val="24"/>
                <w:highlight w:val="none"/>
              </w:rPr>
            </w:pPr>
            <w:r>
              <w:rPr>
                <w:color w:val="auto"/>
                <w:sz w:val="24"/>
                <w:highlight w:val="none"/>
              </w:rPr>
              <w:t>授权（受理）的国际发明专利前2名</w:t>
            </w:r>
          </w:p>
        </w:tc>
        <w:tc>
          <w:tcPr>
            <w:tcW w:w="2948" w:type="dxa"/>
            <w:gridSpan w:val="2"/>
            <w:shd w:val="clear" w:color="auto" w:fill="auto"/>
            <w:vAlign w:val="center"/>
          </w:tcPr>
          <w:p w14:paraId="30601D1D">
            <w:pPr>
              <w:spacing w:line="300" w:lineRule="auto"/>
              <w:jc w:val="center"/>
              <w:rPr>
                <w:color w:val="auto"/>
                <w:sz w:val="24"/>
                <w:highlight w:val="none"/>
              </w:rPr>
            </w:pPr>
            <w:r>
              <w:rPr>
                <w:color w:val="auto"/>
                <w:sz w:val="24"/>
                <w:highlight w:val="none"/>
              </w:rPr>
              <w:t>2（1）</w:t>
            </w:r>
          </w:p>
        </w:tc>
      </w:tr>
      <w:tr w14:paraId="3130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387" w:type="dxa"/>
            <w:shd w:val="clear" w:color="auto" w:fill="auto"/>
            <w:vAlign w:val="center"/>
          </w:tcPr>
          <w:p w14:paraId="129798B0">
            <w:pPr>
              <w:spacing w:line="300" w:lineRule="auto"/>
              <w:jc w:val="center"/>
              <w:rPr>
                <w:color w:val="auto"/>
                <w:sz w:val="24"/>
                <w:highlight w:val="none"/>
              </w:rPr>
            </w:pPr>
            <w:r>
              <w:rPr>
                <w:color w:val="auto"/>
                <w:sz w:val="24"/>
                <w:highlight w:val="none"/>
              </w:rPr>
              <w:t>授权（受理）国家发明专利前2名</w:t>
            </w:r>
          </w:p>
        </w:tc>
        <w:tc>
          <w:tcPr>
            <w:tcW w:w="2948" w:type="dxa"/>
            <w:gridSpan w:val="2"/>
            <w:shd w:val="clear" w:color="auto" w:fill="auto"/>
            <w:vAlign w:val="center"/>
          </w:tcPr>
          <w:p w14:paraId="5CC94A37">
            <w:pPr>
              <w:spacing w:line="300" w:lineRule="auto"/>
              <w:jc w:val="center"/>
              <w:rPr>
                <w:color w:val="auto"/>
                <w:sz w:val="24"/>
                <w:highlight w:val="none"/>
              </w:rPr>
            </w:pPr>
            <w:r>
              <w:rPr>
                <w:color w:val="auto"/>
                <w:sz w:val="24"/>
                <w:highlight w:val="none"/>
              </w:rPr>
              <w:t>0.8（0.4）</w:t>
            </w:r>
          </w:p>
        </w:tc>
      </w:tr>
      <w:tr w14:paraId="12BE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7" w:type="dxa"/>
            <w:shd w:val="clear" w:color="auto" w:fill="auto"/>
            <w:vAlign w:val="center"/>
          </w:tcPr>
          <w:p w14:paraId="3CC06FA3">
            <w:pPr>
              <w:spacing w:line="300" w:lineRule="auto"/>
              <w:jc w:val="center"/>
              <w:rPr>
                <w:color w:val="auto"/>
                <w:sz w:val="24"/>
                <w:highlight w:val="none"/>
              </w:rPr>
            </w:pPr>
            <w:r>
              <w:rPr>
                <w:color w:val="auto"/>
                <w:sz w:val="24"/>
                <w:highlight w:val="none"/>
              </w:rPr>
              <w:t>作为主要人员（国家级学生中前二，省部级学生中前一）参与撰写国家或省部级科研项目申请书，并且获批（仅限一项，</w:t>
            </w:r>
            <w:r>
              <w:rPr>
                <w:rFonts w:hint="eastAsia"/>
                <w:color w:val="auto"/>
                <w:sz w:val="24"/>
                <w:highlight w:val="none"/>
              </w:rPr>
              <w:t>申请书中有</w:t>
            </w:r>
            <w:r>
              <w:rPr>
                <w:color w:val="auto"/>
                <w:sz w:val="24"/>
                <w:highlight w:val="none"/>
              </w:rPr>
              <w:t>该学生，由导师出具证明）</w:t>
            </w:r>
          </w:p>
        </w:tc>
        <w:tc>
          <w:tcPr>
            <w:tcW w:w="2948" w:type="dxa"/>
            <w:gridSpan w:val="2"/>
            <w:shd w:val="clear" w:color="auto" w:fill="auto"/>
            <w:vAlign w:val="center"/>
          </w:tcPr>
          <w:p w14:paraId="3D878320">
            <w:pPr>
              <w:spacing w:line="300" w:lineRule="auto"/>
              <w:jc w:val="center"/>
              <w:rPr>
                <w:color w:val="auto"/>
                <w:sz w:val="24"/>
                <w:highlight w:val="none"/>
              </w:rPr>
            </w:pPr>
            <w:r>
              <w:rPr>
                <w:color w:val="auto"/>
                <w:sz w:val="24"/>
                <w:highlight w:val="none"/>
              </w:rPr>
              <w:t>1（0.8）</w:t>
            </w:r>
          </w:p>
        </w:tc>
      </w:tr>
    </w:tbl>
    <w:p w14:paraId="54E00070">
      <w:pPr>
        <w:autoSpaceDE w:val="0"/>
        <w:autoSpaceDN w:val="0"/>
        <w:adjustRightInd w:val="0"/>
        <w:spacing w:line="300" w:lineRule="auto"/>
        <w:ind w:firstLine="420" w:firstLineChars="200"/>
        <w:jc w:val="left"/>
        <w:rPr>
          <w:color w:val="auto"/>
          <w:szCs w:val="21"/>
          <w:highlight w:val="none"/>
        </w:rPr>
      </w:pPr>
      <w:r>
        <w:rPr>
          <w:rFonts w:hint="eastAsia"/>
          <w:color w:val="auto"/>
          <w:szCs w:val="21"/>
          <w:highlight w:val="none"/>
        </w:rPr>
        <w:t>注：</w:t>
      </w:r>
    </w:p>
    <w:p w14:paraId="68439AB1">
      <w:pPr>
        <w:autoSpaceDE w:val="0"/>
        <w:autoSpaceDN w:val="0"/>
        <w:adjustRightInd w:val="0"/>
        <w:spacing w:line="300" w:lineRule="auto"/>
        <w:ind w:firstLine="420" w:firstLineChars="200"/>
        <w:jc w:val="left"/>
        <w:rPr>
          <w:color w:val="auto"/>
          <w:szCs w:val="21"/>
          <w:highlight w:val="none"/>
        </w:rPr>
      </w:pPr>
      <w:r>
        <w:rPr>
          <w:rFonts w:hint="eastAsia"/>
          <w:color w:val="auto"/>
          <w:szCs w:val="21"/>
          <w:highlight w:val="none"/>
        </w:rPr>
        <w:t>（1）</w:t>
      </w:r>
      <w:r>
        <w:rPr>
          <w:color w:val="auto"/>
          <w:szCs w:val="21"/>
          <w:highlight w:val="none"/>
        </w:rPr>
        <w:t>科技竞赛</w:t>
      </w:r>
      <w:r>
        <w:rPr>
          <w:rFonts w:hint="eastAsia"/>
          <w:color w:val="auto"/>
          <w:szCs w:val="21"/>
          <w:highlight w:val="none"/>
        </w:rPr>
        <w:t>若有</w:t>
      </w:r>
      <w:bookmarkStart w:id="1" w:name="_GoBack"/>
      <w:bookmarkEnd w:id="1"/>
      <w:r>
        <w:rPr>
          <w:color w:val="auto"/>
          <w:szCs w:val="21"/>
          <w:highlight w:val="none"/>
        </w:rPr>
        <w:t>特等奖，则特等奖</w:t>
      </w:r>
      <w:r>
        <w:rPr>
          <w:rFonts w:hint="eastAsia"/>
          <w:color w:val="auto"/>
          <w:szCs w:val="21"/>
          <w:highlight w:val="none"/>
        </w:rPr>
        <w:t>为</w:t>
      </w:r>
      <w:r>
        <w:rPr>
          <w:color w:val="auto"/>
          <w:szCs w:val="21"/>
          <w:highlight w:val="none"/>
        </w:rPr>
        <w:t>一等奖，依此类推</w:t>
      </w:r>
      <w:r>
        <w:rPr>
          <w:rFonts w:hint="eastAsia"/>
          <w:color w:val="auto"/>
          <w:szCs w:val="21"/>
          <w:highlight w:val="none"/>
        </w:rPr>
        <w:t>；</w:t>
      </w:r>
      <w:r>
        <w:rPr>
          <w:color w:val="auto"/>
          <w:szCs w:val="21"/>
          <w:highlight w:val="none"/>
        </w:rPr>
        <w:t>同</w:t>
      </w:r>
      <w:r>
        <w:rPr>
          <w:rFonts w:hint="eastAsia"/>
          <w:color w:val="auto"/>
          <w:szCs w:val="21"/>
          <w:highlight w:val="none"/>
        </w:rPr>
        <w:t>一</w:t>
      </w:r>
      <w:r>
        <w:rPr>
          <w:color w:val="auto"/>
          <w:szCs w:val="21"/>
          <w:highlight w:val="none"/>
        </w:rPr>
        <w:t>竞赛参加国家</w:t>
      </w:r>
      <w:r>
        <w:rPr>
          <w:rFonts w:hint="eastAsia"/>
          <w:color w:val="auto"/>
          <w:szCs w:val="21"/>
          <w:highlight w:val="none"/>
        </w:rPr>
        <w:t>级</w:t>
      </w:r>
      <w:r>
        <w:rPr>
          <w:color w:val="auto"/>
          <w:szCs w:val="21"/>
          <w:highlight w:val="none"/>
        </w:rPr>
        <w:t>和省级</w:t>
      </w:r>
      <w:r>
        <w:rPr>
          <w:rFonts w:hint="eastAsia"/>
          <w:color w:val="auto"/>
          <w:szCs w:val="21"/>
          <w:highlight w:val="none"/>
        </w:rPr>
        <w:t>时</w:t>
      </w:r>
      <w:r>
        <w:rPr>
          <w:color w:val="auto"/>
          <w:szCs w:val="21"/>
          <w:highlight w:val="none"/>
        </w:rPr>
        <w:t>，</w:t>
      </w:r>
      <w:r>
        <w:rPr>
          <w:rFonts w:hint="eastAsia"/>
          <w:color w:val="auto"/>
          <w:szCs w:val="21"/>
          <w:highlight w:val="none"/>
        </w:rPr>
        <w:t>只</w:t>
      </w:r>
      <w:r>
        <w:rPr>
          <w:color w:val="auto"/>
          <w:szCs w:val="21"/>
          <w:highlight w:val="none"/>
        </w:rPr>
        <w:t>取最高分。</w:t>
      </w:r>
    </w:p>
    <w:p w14:paraId="616053AF">
      <w:pPr>
        <w:autoSpaceDE w:val="0"/>
        <w:autoSpaceDN w:val="0"/>
        <w:adjustRightInd w:val="0"/>
        <w:spacing w:line="300" w:lineRule="auto"/>
        <w:ind w:firstLine="420" w:firstLineChars="200"/>
        <w:jc w:val="left"/>
        <w:rPr>
          <w:color w:val="auto"/>
          <w:szCs w:val="21"/>
          <w:highlight w:val="none"/>
        </w:rPr>
      </w:pPr>
      <w:r>
        <w:rPr>
          <w:rFonts w:hint="eastAsia"/>
          <w:color w:val="auto"/>
          <w:szCs w:val="21"/>
          <w:highlight w:val="none"/>
        </w:rPr>
        <w:t>（2）学生科技立项</w:t>
      </w:r>
      <w:r>
        <w:rPr>
          <w:color w:val="auto"/>
          <w:szCs w:val="21"/>
          <w:highlight w:val="none"/>
        </w:rPr>
        <w:t>和科技竞赛</w:t>
      </w:r>
      <w:r>
        <w:rPr>
          <w:rFonts w:hint="eastAsia"/>
          <w:color w:val="auto"/>
          <w:szCs w:val="21"/>
          <w:highlight w:val="none"/>
        </w:rPr>
        <w:t>为所有</w:t>
      </w:r>
      <w:r>
        <w:rPr>
          <w:color w:val="auto"/>
          <w:szCs w:val="21"/>
          <w:highlight w:val="none"/>
        </w:rPr>
        <w:t>学生</w:t>
      </w:r>
      <w:r>
        <w:rPr>
          <w:rFonts w:hint="eastAsia"/>
          <w:color w:val="auto"/>
          <w:szCs w:val="21"/>
          <w:highlight w:val="none"/>
        </w:rPr>
        <w:t>（含</w:t>
      </w:r>
      <w:r>
        <w:rPr>
          <w:color w:val="auto"/>
          <w:szCs w:val="21"/>
          <w:highlight w:val="none"/>
        </w:rPr>
        <w:t>本科生</w:t>
      </w:r>
      <w:r>
        <w:rPr>
          <w:rFonts w:hint="eastAsia"/>
          <w:color w:val="auto"/>
          <w:szCs w:val="21"/>
          <w:highlight w:val="none"/>
        </w:rPr>
        <w:t>）</w:t>
      </w:r>
      <w:r>
        <w:rPr>
          <w:color w:val="auto"/>
          <w:szCs w:val="21"/>
          <w:highlight w:val="none"/>
        </w:rPr>
        <w:t>排名</w:t>
      </w:r>
      <w:r>
        <w:rPr>
          <w:rFonts w:hint="eastAsia"/>
          <w:color w:val="auto"/>
          <w:szCs w:val="21"/>
          <w:highlight w:val="none"/>
        </w:rPr>
        <w:t>的</w:t>
      </w:r>
      <w:r>
        <w:rPr>
          <w:color w:val="auto"/>
          <w:szCs w:val="21"/>
          <w:highlight w:val="none"/>
        </w:rPr>
        <w:t>前</w:t>
      </w:r>
      <w:r>
        <w:rPr>
          <w:rFonts w:hint="eastAsia"/>
          <w:color w:val="auto"/>
          <w:szCs w:val="21"/>
          <w:highlight w:val="none"/>
        </w:rPr>
        <w:t>2名</w:t>
      </w:r>
      <w:r>
        <w:rPr>
          <w:color w:val="auto"/>
          <w:szCs w:val="21"/>
          <w:highlight w:val="none"/>
        </w:rPr>
        <w:t>。</w:t>
      </w:r>
    </w:p>
    <w:p w14:paraId="00E90344">
      <w:pPr>
        <w:autoSpaceDE w:val="0"/>
        <w:autoSpaceDN w:val="0"/>
        <w:adjustRightInd w:val="0"/>
        <w:spacing w:line="30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）同</w:t>
      </w:r>
      <w:r>
        <w:rPr>
          <w:color w:val="auto"/>
          <w:szCs w:val="21"/>
          <w:highlight w:val="none"/>
        </w:rPr>
        <w:t>篇论文在</w:t>
      </w:r>
      <w:r>
        <w:rPr>
          <w:rFonts w:hint="eastAsia"/>
          <w:color w:val="auto"/>
          <w:szCs w:val="21"/>
          <w:highlight w:val="none"/>
        </w:rPr>
        <w:t>同</w:t>
      </w:r>
      <w:r>
        <w:rPr>
          <w:color w:val="auto"/>
          <w:szCs w:val="21"/>
          <w:highlight w:val="none"/>
        </w:rPr>
        <w:t>一会议</w:t>
      </w:r>
      <w:r>
        <w:rPr>
          <w:rFonts w:hint="eastAsia"/>
          <w:color w:val="auto"/>
          <w:szCs w:val="21"/>
          <w:highlight w:val="none"/>
        </w:rPr>
        <w:t>中做报告和录用论文，被</w:t>
      </w:r>
      <w:r>
        <w:rPr>
          <w:color w:val="auto"/>
          <w:szCs w:val="21"/>
          <w:highlight w:val="none"/>
        </w:rPr>
        <w:t>SCI</w:t>
      </w:r>
      <w:r>
        <w:rPr>
          <w:rFonts w:hint="eastAsia"/>
          <w:color w:val="auto"/>
          <w:szCs w:val="21"/>
          <w:highlight w:val="none"/>
        </w:rPr>
        <w:t>或</w:t>
      </w:r>
      <w:r>
        <w:rPr>
          <w:color w:val="auto"/>
          <w:szCs w:val="21"/>
          <w:highlight w:val="none"/>
        </w:rPr>
        <w:t>EI录用</w:t>
      </w:r>
      <w:r>
        <w:rPr>
          <w:rFonts w:hint="eastAsia"/>
          <w:color w:val="auto"/>
          <w:szCs w:val="21"/>
          <w:highlight w:val="none"/>
        </w:rPr>
        <w:t>，</w:t>
      </w:r>
      <w:r>
        <w:rPr>
          <w:color w:val="auto"/>
          <w:szCs w:val="21"/>
          <w:highlight w:val="none"/>
        </w:rPr>
        <w:t>这</w:t>
      </w:r>
      <w:r>
        <w:rPr>
          <w:rFonts w:hint="eastAsia"/>
          <w:color w:val="auto"/>
          <w:szCs w:val="21"/>
          <w:highlight w:val="none"/>
        </w:rPr>
        <w:t>几种</w:t>
      </w:r>
      <w:r>
        <w:rPr>
          <w:color w:val="auto"/>
          <w:szCs w:val="21"/>
          <w:highlight w:val="none"/>
        </w:rPr>
        <w:t>情况</w:t>
      </w:r>
      <w:r>
        <w:rPr>
          <w:rFonts w:hint="eastAsia"/>
          <w:color w:val="auto"/>
          <w:szCs w:val="21"/>
          <w:highlight w:val="none"/>
        </w:rPr>
        <w:t>不</w:t>
      </w:r>
      <w:r>
        <w:rPr>
          <w:color w:val="auto"/>
          <w:szCs w:val="21"/>
          <w:highlight w:val="none"/>
        </w:rPr>
        <w:t>累加</w:t>
      </w:r>
      <w:r>
        <w:rPr>
          <w:rFonts w:hint="eastAsia"/>
          <w:color w:val="auto"/>
          <w:szCs w:val="21"/>
          <w:highlight w:val="none"/>
        </w:rPr>
        <w:t>，</w:t>
      </w:r>
      <w:r>
        <w:rPr>
          <w:color w:val="auto"/>
          <w:szCs w:val="21"/>
          <w:highlight w:val="none"/>
        </w:rPr>
        <w:t>即</w:t>
      </w:r>
      <w:r>
        <w:rPr>
          <w:rFonts w:hint="eastAsia"/>
          <w:color w:val="auto"/>
          <w:szCs w:val="21"/>
          <w:highlight w:val="none"/>
        </w:rPr>
        <w:t>同</w:t>
      </w:r>
      <w:r>
        <w:rPr>
          <w:color w:val="auto"/>
          <w:szCs w:val="21"/>
          <w:highlight w:val="none"/>
        </w:rPr>
        <w:t>篇论文</w:t>
      </w:r>
      <w:r>
        <w:rPr>
          <w:rFonts w:hint="eastAsia"/>
          <w:color w:val="auto"/>
          <w:szCs w:val="21"/>
          <w:highlight w:val="none"/>
        </w:rPr>
        <w:t>在</w:t>
      </w:r>
      <w:r>
        <w:rPr>
          <w:color w:val="auto"/>
          <w:szCs w:val="21"/>
          <w:highlight w:val="none"/>
        </w:rPr>
        <w:t>前述几项中</w:t>
      </w:r>
      <w:r>
        <w:rPr>
          <w:rFonts w:hint="eastAsia"/>
          <w:color w:val="auto"/>
          <w:szCs w:val="21"/>
          <w:highlight w:val="none"/>
        </w:rPr>
        <w:t>只</w:t>
      </w:r>
      <w:r>
        <w:rPr>
          <w:color w:val="auto"/>
          <w:szCs w:val="21"/>
          <w:highlight w:val="none"/>
        </w:rPr>
        <w:t>取最高分。</w:t>
      </w:r>
    </w:p>
    <w:p w14:paraId="461CE46B">
      <w:pPr>
        <w:autoSpaceDE w:val="0"/>
        <w:autoSpaceDN w:val="0"/>
        <w:adjustRightInd w:val="0"/>
        <w:spacing w:line="300" w:lineRule="auto"/>
        <w:ind w:firstLine="420" w:firstLineChars="200"/>
        <w:jc w:val="left"/>
        <w:rPr>
          <w:color w:val="auto"/>
          <w:szCs w:val="21"/>
          <w:highlight w:val="none"/>
        </w:rPr>
      </w:pPr>
      <w:r>
        <w:rPr>
          <w:rFonts w:hint="eastAsia"/>
          <w:color w:val="auto"/>
          <w:szCs w:val="21"/>
          <w:highlight w:val="none"/>
        </w:rPr>
        <w:t>（4）同一发明的授权和受理不</w:t>
      </w:r>
      <w:r>
        <w:rPr>
          <w:color w:val="auto"/>
          <w:szCs w:val="21"/>
          <w:highlight w:val="none"/>
        </w:rPr>
        <w:t>累加</w:t>
      </w:r>
      <w:r>
        <w:rPr>
          <w:rFonts w:hint="eastAsia"/>
          <w:color w:val="auto"/>
          <w:szCs w:val="21"/>
          <w:highlight w:val="none"/>
        </w:rPr>
        <w:t>。</w:t>
      </w:r>
    </w:p>
    <w:p w14:paraId="48036A96">
      <w:pPr>
        <w:autoSpaceDE w:val="0"/>
        <w:autoSpaceDN w:val="0"/>
        <w:adjustRightInd w:val="0"/>
        <w:spacing w:line="300" w:lineRule="auto"/>
        <w:ind w:firstLine="420" w:firstLineChars="200"/>
        <w:jc w:val="left"/>
        <w:rPr>
          <w:color w:val="auto"/>
          <w:szCs w:val="21"/>
          <w:highlight w:val="none"/>
        </w:rPr>
      </w:pPr>
    </w:p>
    <w:p w14:paraId="224FE299">
      <w:pPr>
        <w:autoSpaceDE w:val="0"/>
        <w:autoSpaceDN w:val="0"/>
        <w:adjustRightInd w:val="0"/>
        <w:spacing w:line="300" w:lineRule="auto"/>
        <w:ind w:firstLine="480" w:firstLineChars="200"/>
        <w:jc w:val="left"/>
        <w:rPr>
          <w:color w:val="auto"/>
          <w:sz w:val="24"/>
          <w:highlight w:val="none"/>
        </w:rPr>
      </w:pPr>
      <w:r>
        <w:rPr>
          <w:color w:val="auto"/>
          <w:sz w:val="24"/>
          <w:highlight w:val="none"/>
        </w:rPr>
        <w:t>（</w:t>
      </w:r>
      <w:r>
        <w:rPr>
          <w:rFonts w:hint="eastAsia"/>
          <w:color w:val="auto"/>
          <w:sz w:val="24"/>
          <w:highlight w:val="none"/>
        </w:rPr>
        <w:t>三</w:t>
      </w:r>
      <w:r>
        <w:rPr>
          <w:color w:val="auto"/>
          <w:sz w:val="24"/>
          <w:highlight w:val="none"/>
        </w:rPr>
        <w:t>）</w:t>
      </w:r>
      <w:r>
        <w:rPr>
          <w:rFonts w:hint="eastAsia"/>
          <w:color w:val="auto"/>
          <w:sz w:val="24"/>
          <w:highlight w:val="none"/>
        </w:rPr>
        <w:t>开题报告评议中，结果</w:t>
      </w:r>
      <w:r>
        <w:rPr>
          <w:color w:val="auto"/>
          <w:sz w:val="24"/>
          <w:highlight w:val="none"/>
        </w:rPr>
        <w:t>为</w:t>
      </w:r>
      <w:r>
        <w:rPr>
          <w:rFonts w:hint="eastAsia"/>
          <w:color w:val="auto"/>
          <w:sz w:val="24"/>
          <w:highlight w:val="none"/>
        </w:rPr>
        <w:t>优</w:t>
      </w:r>
      <w:r>
        <w:rPr>
          <w:color w:val="auto"/>
          <w:sz w:val="24"/>
          <w:highlight w:val="none"/>
        </w:rPr>
        <w:t>加</w:t>
      </w:r>
      <w:r>
        <w:rPr>
          <w:rFonts w:hint="eastAsia"/>
          <w:color w:val="auto"/>
          <w:sz w:val="24"/>
          <w:highlight w:val="none"/>
        </w:rPr>
        <w:t>2分</w:t>
      </w:r>
      <w:r>
        <w:rPr>
          <w:color w:val="auto"/>
          <w:sz w:val="24"/>
          <w:highlight w:val="none"/>
        </w:rPr>
        <w:t>，良加</w:t>
      </w:r>
      <w:r>
        <w:rPr>
          <w:rFonts w:hint="eastAsia"/>
          <w:color w:val="auto"/>
          <w:sz w:val="24"/>
          <w:highlight w:val="none"/>
        </w:rPr>
        <w:t>1分</w:t>
      </w:r>
      <w:r>
        <w:rPr>
          <w:color w:val="auto"/>
          <w:sz w:val="24"/>
          <w:highlight w:val="none"/>
        </w:rPr>
        <w:t>，其它加</w:t>
      </w:r>
      <w:r>
        <w:rPr>
          <w:rFonts w:hint="eastAsia"/>
          <w:color w:val="auto"/>
          <w:sz w:val="24"/>
          <w:highlight w:val="none"/>
        </w:rPr>
        <w:t>0.5分</w:t>
      </w:r>
      <w:r>
        <w:rPr>
          <w:color w:val="auto"/>
          <w:sz w:val="24"/>
          <w:highlight w:val="none"/>
        </w:rPr>
        <w:t>。</w:t>
      </w:r>
    </w:p>
    <w:p w14:paraId="2634A489">
      <w:pPr>
        <w:autoSpaceDE w:val="0"/>
        <w:autoSpaceDN w:val="0"/>
        <w:adjustRightInd w:val="0"/>
        <w:spacing w:line="300" w:lineRule="auto"/>
        <w:ind w:firstLine="480" w:firstLineChars="200"/>
        <w:jc w:val="left"/>
        <w:rPr>
          <w:color w:val="auto"/>
          <w:sz w:val="24"/>
          <w:highlight w:val="none"/>
        </w:rPr>
      </w:pPr>
      <w:r>
        <w:rPr>
          <w:rFonts w:hint="eastAsia"/>
          <w:color w:val="auto"/>
          <w:sz w:val="24"/>
          <w:highlight w:val="none"/>
        </w:rPr>
        <w:t>（四）学院现场答辩</w:t>
      </w:r>
      <w:r>
        <w:rPr>
          <w:color w:val="auto"/>
          <w:sz w:val="24"/>
          <w:highlight w:val="none"/>
        </w:rPr>
        <w:t>附加分</w:t>
      </w:r>
      <w:r>
        <w:rPr>
          <w:rFonts w:hint="eastAsia"/>
          <w:color w:val="auto"/>
          <w:sz w:val="24"/>
          <w:highlight w:val="none"/>
        </w:rPr>
        <w:t>（满分</w:t>
      </w:r>
      <w:r>
        <w:rPr>
          <w:color w:val="auto"/>
          <w:sz w:val="24"/>
          <w:highlight w:val="none"/>
        </w:rPr>
        <w:t>5</w:t>
      </w:r>
      <w:r>
        <w:rPr>
          <w:rFonts w:hint="eastAsia"/>
          <w:color w:val="auto"/>
          <w:sz w:val="24"/>
          <w:highlight w:val="none"/>
        </w:rPr>
        <w:t>分）。</w:t>
      </w:r>
    </w:p>
    <w:p w14:paraId="53FC4E44">
      <w:pPr>
        <w:spacing w:before="156" w:beforeLines="50" w:line="312" w:lineRule="auto"/>
        <w:ind w:firstLine="482" w:firstLineChars="200"/>
        <w:rPr>
          <w:rFonts w:cs="Tahoma" w:asciiTheme="minorEastAsia" w:hAnsiTheme="minorEastAsia"/>
          <w:b/>
          <w:color w:val="auto"/>
          <w:sz w:val="24"/>
          <w:highlight w:val="none"/>
        </w:rPr>
      </w:pPr>
      <w:r>
        <w:rPr>
          <w:rFonts w:hint="eastAsia" w:cs="Tahoma" w:asciiTheme="minorEastAsia" w:hAnsiTheme="minorEastAsia"/>
          <w:b/>
          <w:color w:val="auto"/>
          <w:sz w:val="24"/>
          <w:highlight w:val="none"/>
        </w:rPr>
        <w:t>七</w:t>
      </w:r>
      <w:r>
        <w:rPr>
          <w:rFonts w:cs="Tahoma" w:asciiTheme="minorEastAsia" w:hAnsiTheme="minorEastAsia"/>
          <w:b/>
          <w:color w:val="auto"/>
          <w:sz w:val="24"/>
          <w:highlight w:val="none"/>
        </w:rPr>
        <w:t>、</w:t>
      </w:r>
      <w:r>
        <w:rPr>
          <w:rFonts w:hint="eastAsia" w:cs="Tahoma" w:asciiTheme="minorEastAsia" w:hAnsiTheme="minorEastAsia"/>
          <w:b/>
          <w:color w:val="auto"/>
          <w:sz w:val="24"/>
          <w:highlight w:val="none"/>
        </w:rPr>
        <w:t>本细则自发布之日起实行，由新能源学院负责解释。其他未尽事宜按学校和</w:t>
      </w:r>
      <w:r>
        <w:rPr>
          <w:rFonts w:cs="Tahoma" w:asciiTheme="minorEastAsia" w:hAnsiTheme="minorEastAsia"/>
          <w:b/>
          <w:color w:val="auto"/>
          <w:sz w:val="24"/>
          <w:highlight w:val="none"/>
        </w:rPr>
        <w:t>校区</w:t>
      </w:r>
      <w:r>
        <w:rPr>
          <w:rFonts w:hint="eastAsia" w:cs="Tahoma" w:asciiTheme="minorEastAsia" w:hAnsiTheme="minorEastAsia"/>
          <w:b/>
          <w:color w:val="auto"/>
          <w:sz w:val="24"/>
          <w:highlight w:val="none"/>
        </w:rPr>
        <w:t>相关文件及规定执行。</w:t>
      </w:r>
    </w:p>
    <w:p w14:paraId="7DC5BFD3">
      <w:pPr>
        <w:spacing w:line="300" w:lineRule="auto"/>
        <w:jc w:val="right"/>
        <w:rPr>
          <w:color w:val="auto"/>
          <w:sz w:val="24"/>
          <w:highlight w:val="none"/>
        </w:rPr>
      </w:pPr>
      <w:r>
        <w:rPr>
          <w:rFonts w:hint="eastAsia"/>
          <w:color w:val="auto"/>
          <w:sz w:val="24"/>
          <w:highlight w:val="none"/>
        </w:rPr>
        <w:t>新能源学院</w:t>
      </w:r>
    </w:p>
    <w:p w14:paraId="3308AFB5">
      <w:pPr>
        <w:spacing w:line="300" w:lineRule="auto"/>
        <w:jc w:val="right"/>
        <w:rPr>
          <w:color w:val="auto"/>
          <w:sz w:val="24"/>
          <w:highlight w:val="none"/>
        </w:rPr>
      </w:pPr>
      <w:r>
        <w:rPr>
          <w:color w:val="auto"/>
          <w:sz w:val="24"/>
          <w:highlight w:val="none"/>
        </w:rPr>
        <w:t>20</w:t>
      </w:r>
      <w:r>
        <w:rPr>
          <w:rFonts w:hint="eastAsia"/>
          <w:color w:val="auto"/>
          <w:sz w:val="24"/>
          <w:highlight w:val="none"/>
        </w:rPr>
        <w:t>2</w:t>
      </w:r>
      <w:r>
        <w:rPr>
          <w:color w:val="auto"/>
          <w:sz w:val="24"/>
          <w:highlight w:val="none"/>
        </w:rPr>
        <w:t>4</w:t>
      </w:r>
      <w:r>
        <w:rPr>
          <w:rFonts w:hint="eastAsia"/>
          <w:color w:val="auto"/>
          <w:sz w:val="24"/>
          <w:highlight w:val="none"/>
        </w:rPr>
        <w:t>年8月30日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A83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NjYzNDE4YTFhMjMzYzMxNTU3NzIxNTRjMmI5YWQifQ=="/>
  </w:docVars>
  <w:rsids>
    <w:rsidRoot w:val="005B06D5"/>
    <w:rsid w:val="00001B1D"/>
    <w:rsid w:val="00013723"/>
    <w:rsid w:val="00053277"/>
    <w:rsid w:val="00066D93"/>
    <w:rsid w:val="0008710A"/>
    <w:rsid w:val="000A3157"/>
    <w:rsid w:val="000E2E5C"/>
    <w:rsid w:val="00104083"/>
    <w:rsid w:val="00107E53"/>
    <w:rsid w:val="00113860"/>
    <w:rsid w:val="001622C7"/>
    <w:rsid w:val="0017650B"/>
    <w:rsid w:val="001C45BF"/>
    <w:rsid w:val="001D6AFE"/>
    <w:rsid w:val="001F3153"/>
    <w:rsid w:val="001F41D2"/>
    <w:rsid w:val="0022084F"/>
    <w:rsid w:val="0025688D"/>
    <w:rsid w:val="00263904"/>
    <w:rsid w:val="00270D0B"/>
    <w:rsid w:val="00272460"/>
    <w:rsid w:val="00286C4A"/>
    <w:rsid w:val="002A356E"/>
    <w:rsid w:val="002A52F5"/>
    <w:rsid w:val="002B7BA0"/>
    <w:rsid w:val="002C0D76"/>
    <w:rsid w:val="002D57F1"/>
    <w:rsid w:val="002F74A1"/>
    <w:rsid w:val="00327B61"/>
    <w:rsid w:val="0033438A"/>
    <w:rsid w:val="00351D14"/>
    <w:rsid w:val="00357A43"/>
    <w:rsid w:val="00372285"/>
    <w:rsid w:val="003A5A78"/>
    <w:rsid w:val="003A6F9E"/>
    <w:rsid w:val="003B03B1"/>
    <w:rsid w:val="003E23C7"/>
    <w:rsid w:val="004112FF"/>
    <w:rsid w:val="004208A6"/>
    <w:rsid w:val="00433A37"/>
    <w:rsid w:val="00436884"/>
    <w:rsid w:val="00450D78"/>
    <w:rsid w:val="00452A95"/>
    <w:rsid w:val="00456FAC"/>
    <w:rsid w:val="00466B8F"/>
    <w:rsid w:val="00494704"/>
    <w:rsid w:val="004B4063"/>
    <w:rsid w:val="004C77FE"/>
    <w:rsid w:val="004D5E5C"/>
    <w:rsid w:val="0050407C"/>
    <w:rsid w:val="0055457D"/>
    <w:rsid w:val="00556547"/>
    <w:rsid w:val="005825A0"/>
    <w:rsid w:val="005B06D5"/>
    <w:rsid w:val="005D68DC"/>
    <w:rsid w:val="005E2D49"/>
    <w:rsid w:val="005E5EE5"/>
    <w:rsid w:val="005F1F7C"/>
    <w:rsid w:val="00654D6E"/>
    <w:rsid w:val="00680590"/>
    <w:rsid w:val="00685A74"/>
    <w:rsid w:val="006C396F"/>
    <w:rsid w:val="006E0AFF"/>
    <w:rsid w:val="006E289F"/>
    <w:rsid w:val="006E4446"/>
    <w:rsid w:val="00707C41"/>
    <w:rsid w:val="00720473"/>
    <w:rsid w:val="00732E93"/>
    <w:rsid w:val="00735B91"/>
    <w:rsid w:val="007D7BA6"/>
    <w:rsid w:val="007E51D6"/>
    <w:rsid w:val="007E64E2"/>
    <w:rsid w:val="007F3D51"/>
    <w:rsid w:val="0082061C"/>
    <w:rsid w:val="00820755"/>
    <w:rsid w:val="00872D62"/>
    <w:rsid w:val="008733A7"/>
    <w:rsid w:val="00886859"/>
    <w:rsid w:val="008B66DA"/>
    <w:rsid w:val="008C1E20"/>
    <w:rsid w:val="0090793D"/>
    <w:rsid w:val="00925E5B"/>
    <w:rsid w:val="009475C9"/>
    <w:rsid w:val="0097308A"/>
    <w:rsid w:val="00985443"/>
    <w:rsid w:val="00990411"/>
    <w:rsid w:val="009B27F3"/>
    <w:rsid w:val="009E4414"/>
    <w:rsid w:val="00A03879"/>
    <w:rsid w:val="00AB023A"/>
    <w:rsid w:val="00AD42D5"/>
    <w:rsid w:val="00AE02F1"/>
    <w:rsid w:val="00B05220"/>
    <w:rsid w:val="00B10BBB"/>
    <w:rsid w:val="00B12580"/>
    <w:rsid w:val="00B46347"/>
    <w:rsid w:val="00B547BF"/>
    <w:rsid w:val="00B669F0"/>
    <w:rsid w:val="00B70A2C"/>
    <w:rsid w:val="00B816C4"/>
    <w:rsid w:val="00B83349"/>
    <w:rsid w:val="00B87DDC"/>
    <w:rsid w:val="00B90DEF"/>
    <w:rsid w:val="00BA7062"/>
    <w:rsid w:val="00BA7CD7"/>
    <w:rsid w:val="00BB3CF1"/>
    <w:rsid w:val="00BC75AA"/>
    <w:rsid w:val="00BD7064"/>
    <w:rsid w:val="00C00541"/>
    <w:rsid w:val="00C33161"/>
    <w:rsid w:val="00C43C54"/>
    <w:rsid w:val="00C56093"/>
    <w:rsid w:val="00C57922"/>
    <w:rsid w:val="00C7461A"/>
    <w:rsid w:val="00C811E5"/>
    <w:rsid w:val="00CB3CF5"/>
    <w:rsid w:val="00CC5A30"/>
    <w:rsid w:val="00CD5723"/>
    <w:rsid w:val="00CF3558"/>
    <w:rsid w:val="00D045A1"/>
    <w:rsid w:val="00D046E9"/>
    <w:rsid w:val="00D21534"/>
    <w:rsid w:val="00D948A0"/>
    <w:rsid w:val="00DA6826"/>
    <w:rsid w:val="00DB4B69"/>
    <w:rsid w:val="00E37DE8"/>
    <w:rsid w:val="00E80B25"/>
    <w:rsid w:val="00E80B46"/>
    <w:rsid w:val="00E85E08"/>
    <w:rsid w:val="00E90977"/>
    <w:rsid w:val="00EB2680"/>
    <w:rsid w:val="00ED752B"/>
    <w:rsid w:val="00EF2980"/>
    <w:rsid w:val="00F05396"/>
    <w:rsid w:val="00F174C1"/>
    <w:rsid w:val="00F21BE7"/>
    <w:rsid w:val="00F23086"/>
    <w:rsid w:val="00F3602C"/>
    <w:rsid w:val="00F50531"/>
    <w:rsid w:val="00F543D9"/>
    <w:rsid w:val="00F85650"/>
    <w:rsid w:val="00F90A45"/>
    <w:rsid w:val="00F966D1"/>
    <w:rsid w:val="00FB5F32"/>
    <w:rsid w:val="00FD1BCE"/>
    <w:rsid w:val="00FD6B81"/>
    <w:rsid w:val="00FF1EA6"/>
    <w:rsid w:val="01A544B3"/>
    <w:rsid w:val="0F0C7097"/>
    <w:rsid w:val="1EE35463"/>
    <w:rsid w:val="20F940DF"/>
    <w:rsid w:val="2559644F"/>
    <w:rsid w:val="26481739"/>
    <w:rsid w:val="26546831"/>
    <w:rsid w:val="2F5913A4"/>
    <w:rsid w:val="2F7C59E6"/>
    <w:rsid w:val="342C728B"/>
    <w:rsid w:val="369D34DC"/>
    <w:rsid w:val="37695060"/>
    <w:rsid w:val="376D599E"/>
    <w:rsid w:val="3C9B421A"/>
    <w:rsid w:val="3D0F56BD"/>
    <w:rsid w:val="41276A7E"/>
    <w:rsid w:val="428E3E00"/>
    <w:rsid w:val="48A83CB2"/>
    <w:rsid w:val="4B8458EE"/>
    <w:rsid w:val="4FCE2429"/>
    <w:rsid w:val="4FDA0F12"/>
    <w:rsid w:val="556E7FB9"/>
    <w:rsid w:val="569E4A78"/>
    <w:rsid w:val="5B4246ED"/>
    <w:rsid w:val="5D1C34DA"/>
    <w:rsid w:val="61940CAD"/>
    <w:rsid w:val="64FB1036"/>
    <w:rsid w:val="6F1F1AA6"/>
    <w:rsid w:val="6F3A4F30"/>
    <w:rsid w:val="762F164F"/>
    <w:rsid w:val="7B1228E5"/>
    <w:rsid w:val="7E1C64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0"/>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fontstyle01"/>
    <w:basedOn w:val="9"/>
    <w:qFormat/>
    <w:uiPriority w:val="0"/>
    <w:rPr>
      <w:rFonts w:hint="eastAsia" w:ascii="宋体" w:hAnsi="宋体" w:eastAsia="宋体"/>
      <w:color w:val="000000"/>
      <w:sz w:val="22"/>
      <w:szCs w:val="22"/>
    </w:rPr>
  </w:style>
  <w:style w:type="character" w:customStyle="1" w:styleId="14">
    <w:name w:val="fontstyle21"/>
    <w:basedOn w:val="9"/>
    <w:qFormat/>
    <w:uiPriority w:val="0"/>
    <w:rPr>
      <w:rFonts w:hint="default" w:ascii="TimesNewRomanPSMT" w:hAnsi="TimesNewRomanPSMT"/>
      <w:color w:val="000000"/>
      <w:sz w:val="22"/>
      <w:szCs w:val="22"/>
    </w:rPr>
  </w:style>
  <w:style w:type="character" w:customStyle="1" w:styleId="15">
    <w:name w:val="批注文字 字符"/>
    <w:basedOn w:val="9"/>
    <w:link w:val="2"/>
    <w:semiHidden/>
    <w:qFormat/>
    <w:uiPriority w:val="99"/>
    <w:rPr>
      <w:rFonts w:ascii="Times New Roman" w:hAnsi="Times New Roman" w:eastAsia="宋体" w:cs="Times New Roman"/>
      <w:kern w:val="2"/>
      <w:sz w:val="21"/>
      <w:szCs w:val="24"/>
    </w:rPr>
  </w:style>
  <w:style w:type="character" w:customStyle="1" w:styleId="16">
    <w:name w:val="批注主题 字符"/>
    <w:basedOn w:val="15"/>
    <w:link w:val="7"/>
    <w:semiHidden/>
    <w:qFormat/>
    <w:uiPriority w:val="99"/>
    <w:rPr>
      <w:rFonts w:ascii="Times New Roman" w:hAnsi="Times New Roman" w:eastAsia="宋体" w:cs="Times New Roman"/>
      <w:b/>
      <w:bCs/>
      <w:kern w:val="2"/>
      <w:sz w:val="21"/>
      <w:szCs w:val="24"/>
    </w:rPr>
  </w:style>
  <w:style w:type="character" w:customStyle="1" w:styleId="17">
    <w:name w:val="批注框文本 字符"/>
    <w:basedOn w:val="9"/>
    <w:link w:val="3"/>
    <w:semiHidden/>
    <w:qFormat/>
    <w:uiPriority w:val="99"/>
    <w:rPr>
      <w:rFonts w:ascii="Times New Roman" w:hAnsi="Times New Roman" w:eastAsia="宋体" w:cs="Times New Roman"/>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2726</Words>
  <Characters>2795</Characters>
  <Lines>20</Lines>
  <Paragraphs>5</Paragraphs>
  <TotalTime>1</TotalTime>
  <ScaleCrop>false</ScaleCrop>
  <LinksUpToDate>false</LinksUpToDate>
  <CharactersWithSpaces>2817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2024-09-05T02:14:00Z</dcterms:created>
  <dc:creator>Microsoft</dc:creator>
  <cp:lastModifiedBy>张燕</cp:lastModifiedBy>
  <cp:lastPrinted>2022-07-01T08:46:00Z</cp:lastPrinted>
  <dcterms:modified xsi:type="dcterms:W3CDTF">2024-09-14T03:04:02Z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11E4C3500A4A46ADB379610B3E327AF7</vt:lpwstr>
  </property>
</Properties>
</file>